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560"/>
        <w:jc w:val="center"/>
        <w:rPr>
          <w:rFonts w:ascii="方正小标宋_GBK" w:cs="方正小标宋_GBK" w:eastAsia="方正小标宋_GBK" w:hAnsi="方正小标宋_GBK"/>
          <w:b/>
          <w:sz w:val="36"/>
          <w:szCs w:val="36"/>
        </w:rPr>
      </w:pPr>
      <w:r>
        <w:rPr>
          <w:rFonts w:ascii="方正小标宋_GBK" w:cs="方正小标宋_GBK" w:eastAsia="方正小标宋_GBK" w:hAnsi="方正小标宋_GBK"/>
          <w:b/>
          <w:sz w:val="36"/>
          <w:szCs w:val="36"/>
        </w:rPr>
        <w:t>毕节工业职业技术学院信息安全专业实训室建设需求</w:t>
      </w:r>
    </w:p>
    <w:p>
      <w:pPr>
        <w:pStyle w:val="style1"/>
        <w:rPr>
          <w:color w:val="auto"/>
        </w:rPr>
      </w:pPr>
      <w:r>
        <w:rPr>
          <w:rFonts w:hint="eastAsia"/>
          <w:color w:val="auto"/>
        </w:rPr>
        <w:t>建设目标</w:t>
      </w:r>
    </w:p>
    <w:p>
      <w:pPr>
        <w:pStyle w:val="style0"/>
        <w:spacing w:lineRule="auto" w:line="360"/>
        <w:ind w:firstLine="560" w:firstLineChars="200"/>
        <w:rPr>
          <w:rFonts w:ascii="仿宋" w:cs="微软雅黑" w:eastAsia="仿宋" w:hAnsi="仿宋" w:hint="eastAsia"/>
          <w:sz w:val="28"/>
          <w:szCs w:val="24"/>
        </w:rPr>
      </w:pPr>
      <w:r>
        <w:rPr>
          <w:rFonts w:ascii="仿宋" w:cs="微软雅黑" w:eastAsia="仿宋" w:hAnsi="仿宋" w:hint="eastAsia"/>
          <w:sz w:val="28"/>
          <w:szCs w:val="24"/>
        </w:rPr>
        <w:t>毕节工院</w:t>
      </w:r>
      <w:r>
        <w:rPr>
          <w:rFonts w:ascii="仿宋" w:cs="微软雅黑" w:eastAsia="仿宋" w:hAnsi="仿宋" w:hint="eastAsia"/>
          <w:sz w:val="28"/>
          <w:szCs w:val="24"/>
        </w:rPr>
        <w:t>与</w:t>
      </w:r>
      <w:r>
        <w:rPr>
          <w:rFonts w:ascii="仿宋" w:cs="微软雅黑" w:eastAsia="仿宋" w:hAnsi="仿宋"/>
          <w:sz w:val="28"/>
          <w:szCs w:val="24"/>
        </w:rPr>
        <w:t>优质企业</w:t>
      </w:r>
      <w:r>
        <w:rPr>
          <w:rFonts w:ascii="仿宋" w:cs="微软雅黑" w:eastAsia="仿宋" w:hAnsi="仿宋" w:hint="eastAsia"/>
          <w:sz w:val="28"/>
          <w:szCs w:val="24"/>
        </w:rPr>
        <w:t>开展深度校企合作，双方创新校企联动与管理模式，结合产业发展共同把控校企合作办学方向，共同确定育人目标与合作结果，打造产业深度参与的全国产教融合标杆项目。与优质企业共建产业学院，通过企业师资培训提升师资力量，企业招聘服务和实训提升安全专业学生就业理解能力和素质水平。</w:t>
      </w:r>
    </w:p>
    <w:p>
      <w:pPr>
        <w:pStyle w:val="style1"/>
        <w:rPr>
          <w:color w:val="auto"/>
        </w:rPr>
      </w:pPr>
      <w:r>
        <w:rPr>
          <w:rFonts w:hint="eastAsia"/>
          <w:color w:val="auto"/>
        </w:rPr>
        <w:t>建设内容</w:t>
      </w:r>
    </w:p>
    <w:p>
      <w:pPr>
        <w:pStyle w:val="style0"/>
        <w:ind w:firstLine="560" w:firstLineChars="200"/>
        <w:rPr>
          <w:rFonts w:ascii="仿宋" w:eastAsia="仿宋" w:hAnsi="仿宋" w:hint="eastAsia"/>
          <w:sz w:val="28"/>
          <w:szCs w:val="32"/>
        </w:rPr>
      </w:pPr>
      <w:r>
        <w:rPr>
          <w:rFonts w:ascii="仿宋" w:eastAsia="仿宋" w:hAnsi="仿宋" w:hint="eastAsia"/>
          <w:sz w:val="28"/>
          <w:szCs w:val="32"/>
        </w:rPr>
        <w:t>本着合作、共享的原则，毕节工院与优质企业与共建全国一流产业型综合实践环境。结合优质企业产业技术优势，将技术资源转化为教育资源，依托优质企业“产业教育平台”，以学生精准就业为目标，以平台承载院校</w:t>
      </w:r>
      <w:r>
        <w:rPr>
          <w:rFonts w:ascii="仿宋" w:eastAsia="仿宋" w:hAnsi="仿宋" w:hint="eastAsia"/>
          <w:sz w:val="28"/>
          <w:szCs w:val="32"/>
          <w:lang w:val="en-US" w:eastAsia="zh-CN"/>
        </w:rPr>
        <w:t>信息</w:t>
      </w:r>
      <w:r>
        <w:rPr>
          <w:rFonts w:ascii="仿宋" w:eastAsia="仿宋" w:hAnsi="仿宋" w:hint="eastAsia"/>
          <w:sz w:val="28"/>
          <w:szCs w:val="32"/>
        </w:rPr>
        <w:t>安全专业方向人才培养所需的课程及实验教学资源，满足学生实验实训教学需要，培养高质量产业人才。</w:t>
      </w:r>
    </w:p>
    <w:p>
      <w:pPr>
        <w:pStyle w:val="style0"/>
        <w:ind w:firstLine="560" w:firstLineChars="200"/>
        <w:rPr>
          <w:rFonts w:ascii="仿宋" w:eastAsia="仿宋" w:hAnsi="仿宋" w:hint="eastAsia"/>
          <w:sz w:val="28"/>
          <w:szCs w:val="32"/>
        </w:rPr>
      </w:pPr>
      <w:r>
        <w:rPr>
          <w:rFonts w:ascii="仿宋" w:eastAsia="仿宋" w:hAnsi="仿宋" w:hint="eastAsia"/>
          <w:sz w:val="28"/>
          <w:szCs w:val="32"/>
        </w:rPr>
        <w:t>本次建设的</w:t>
      </w:r>
      <w:r>
        <w:rPr>
          <w:rFonts w:ascii="仿宋" w:eastAsia="仿宋" w:hAnsi="仿宋" w:hint="eastAsia"/>
          <w:sz w:val="28"/>
          <w:szCs w:val="32"/>
          <w:lang w:val="en-US" w:eastAsia="zh-CN"/>
        </w:rPr>
        <w:t>信息</w:t>
      </w:r>
      <w:r>
        <w:rPr>
          <w:rFonts w:ascii="仿宋" w:eastAsia="仿宋" w:hAnsi="仿宋" w:hint="eastAsia"/>
          <w:sz w:val="28"/>
          <w:szCs w:val="32"/>
        </w:rPr>
        <w:t>安全实验实训环境，既包含底层的超融合系统环境，又涵盖了能够紧密有效支撑现有专业课程体系的数字化教学资源以及实战化实验实训内容，不仅在专业体系知识层面进行了扩充，更是充分体现了【理论+实战】的教学形式，提升学生在</w:t>
      </w:r>
      <w:r>
        <w:rPr>
          <w:rFonts w:ascii="仿宋" w:eastAsia="仿宋" w:hAnsi="仿宋" w:hint="eastAsia"/>
          <w:sz w:val="28"/>
          <w:szCs w:val="32"/>
          <w:lang w:val="en-US" w:eastAsia="zh-CN"/>
        </w:rPr>
        <w:t>信息</w:t>
      </w:r>
      <w:r>
        <w:rPr>
          <w:rFonts w:ascii="仿宋" w:eastAsia="仿宋" w:hAnsi="仿宋" w:hint="eastAsia"/>
          <w:sz w:val="28"/>
          <w:szCs w:val="32"/>
        </w:rPr>
        <w:t>安全专业方向的技术能力。</w:t>
      </w:r>
    </w:p>
    <w:bookmarkStart w:id="0" w:name="_Toc531247755"/>
    <w:bookmarkStart w:id="1" w:name="_Toc351118055"/>
    <w:bookmarkStart w:id="2" w:name="_Toc405477086"/>
    <w:p>
      <w:pPr>
        <w:pStyle w:val="style2"/>
        <w:numPr>
          <w:ilvl w:val="1"/>
          <w:numId w:val="0"/>
        </w:numPr>
        <w:ind w:leftChars="0"/>
        <w:rPr/>
      </w:pPr>
      <w:r>
        <w:rPr>
          <w:rFonts w:hint="eastAsia"/>
        </w:rPr>
        <w:t>方案设计</w:t>
      </w:r>
      <w:r>
        <w:t>理念</w:t>
      </w:r>
      <w:bookmarkEnd w:id="0"/>
      <w:bookmarkEnd w:id="1"/>
      <w:bookmarkEnd w:id="2"/>
    </w:p>
    <w:p>
      <w:pPr>
        <w:pStyle w:val="style0"/>
        <w:rPr>
          <w:rFonts w:ascii="微软雅黑" w:eastAsia="微软雅黑" w:hAnsi="微软雅黑"/>
          <w:b/>
        </w:rPr>
      </w:pPr>
      <w:r>
        <w:rPr>
          <w:rFonts w:ascii="微软雅黑" w:eastAsia="微软雅黑" w:hAnsi="微软雅黑" w:hint="eastAsia"/>
          <w:b/>
        </w:rPr>
        <w:t>“</w:t>
      </w:r>
      <w:r>
        <w:rPr>
          <w:rFonts w:ascii="微软雅黑" w:eastAsia="微软雅黑" w:hAnsi="微软雅黑" w:hint="eastAsia"/>
          <w:b/>
          <w:sz w:val="28"/>
          <w:szCs w:val="32"/>
        </w:rPr>
        <w:t xml:space="preserve"> 教、学、练”一体化（项目式</w:t>
      </w:r>
      <w:r>
        <w:rPr>
          <w:rFonts w:ascii="微软雅黑" w:eastAsia="微软雅黑" w:hAnsi="微软雅黑"/>
          <w:b/>
          <w:sz w:val="28"/>
          <w:szCs w:val="32"/>
        </w:rPr>
        <w:t>教学）</w:t>
      </w:r>
    </w:p>
    <w:p>
      <w:pPr>
        <w:pStyle w:val="style0"/>
        <w:ind w:firstLine="560" w:firstLineChars="200"/>
        <w:rPr>
          <w:rFonts w:ascii="仿宋" w:eastAsia="仿宋" w:hAnsi="仿宋" w:hint="eastAsia"/>
          <w:sz w:val="28"/>
          <w:szCs w:val="32"/>
        </w:rPr>
      </w:pPr>
      <w:r>
        <w:rPr>
          <w:rFonts w:ascii="仿宋" w:eastAsia="仿宋" w:hAnsi="仿宋" w:hint="eastAsia"/>
          <w:sz w:val="28"/>
          <w:szCs w:val="32"/>
        </w:rPr>
        <w:t>利用实验平台资源，搭建信息安全教学实训平台，将理论教学与实训教学融为一体，让学生在做中学，学中做，将教学与实训紧密结合，不断提高学习技能，获得能力。基于教学流程设计，更加贴近教学需求提高教学及实验管理效率； 贴合教学需求的重视管理的阶段。教学和实验能够更方便灵活的调用；更全面的教学、实验全流程管理</w:t>
      </w:r>
      <w:r>
        <w:rPr>
          <w:rFonts w:ascii="仿宋" w:eastAsia="仿宋" w:hAnsi="仿宋" w:hint="eastAsia"/>
          <w:sz w:val="28"/>
          <w:szCs w:val="32"/>
          <w:lang w:eastAsia="zh-CN"/>
        </w:rPr>
        <w:t>；</w:t>
      </w:r>
      <w:r>
        <w:rPr>
          <w:rFonts w:ascii="仿宋" w:eastAsia="仿宋" w:hAnsi="仿宋" w:hint="eastAsia"/>
          <w:sz w:val="28"/>
          <w:szCs w:val="32"/>
        </w:rPr>
        <w:t>提供远程多人学习、协同实验等需求成为新一代实训室建设时更加看重的管理要素。</w:t>
      </w:r>
    </w:p>
    <w:p>
      <w:pPr>
        <w:pStyle w:val="style1"/>
        <w:rPr>
          <w:color w:val="auto"/>
        </w:rPr>
      </w:pPr>
      <w:r>
        <w:rPr>
          <w:rFonts w:hint="eastAsia"/>
          <w:color w:val="auto"/>
          <w:lang w:val="en-US" w:eastAsia="zh-CN"/>
        </w:rPr>
        <w:t>方案需求</w:t>
      </w:r>
    </w:p>
    <w:p>
      <w:pPr>
        <w:pStyle w:val="style0"/>
        <w:rPr>
          <w:rFonts w:hint="eastAsia"/>
        </w:rPr>
      </w:pPr>
      <w:r>
        <w:rPr>
          <w:rFonts w:hint="eastAsia"/>
        </w:rPr>
        <w:t>1.本方案</w:t>
      </w:r>
      <w:r>
        <w:rPr>
          <w:rFonts w:hint="eastAsia"/>
          <w:lang w:val="en-US" w:eastAsia="zh-CN"/>
        </w:rPr>
        <w:t>要求</w:t>
      </w:r>
      <w:r>
        <w:rPr>
          <w:rFonts w:hint="eastAsia"/>
        </w:rPr>
        <w:t>以班为单位，</w:t>
      </w:r>
      <w:r>
        <w:rPr>
          <w:rFonts w:hint="eastAsia"/>
          <w:lang w:val="en-US" w:eastAsia="zh-CN"/>
        </w:rPr>
        <w:t>一个班</w:t>
      </w:r>
      <w:r>
        <w:rPr>
          <w:rFonts w:hint="eastAsia"/>
        </w:rPr>
        <w:t>50人，</w:t>
      </w:r>
      <w:r>
        <w:rPr>
          <w:rFonts w:hint="eastAsia"/>
          <w:lang w:val="en-US" w:eastAsia="zh-CN"/>
        </w:rPr>
        <w:t>5</w:t>
      </w:r>
      <w:r>
        <w:rPr>
          <w:rFonts w:hint="eastAsia"/>
        </w:rPr>
        <w:t>人一组，搭建</w:t>
      </w:r>
      <w:r>
        <w:rPr>
          <w:rFonts w:hint="eastAsia"/>
          <w:lang w:val="en-US" w:eastAsia="zh-CN"/>
        </w:rPr>
        <w:t>信息</w:t>
      </w:r>
      <w:r>
        <w:rPr>
          <w:rFonts w:hint="eastAsia"/>
        </w:rPr>
        <w:t>安全专业人才培养架构；</w:t>
      </w:r>
    </w:p>
    <w:p>
      <w:pPr>
        <w:pStyle w:val="style0"/>
        <w:rPr/>
      </w:pPr>
      <w:r>
        <w:rPr>
          <w:rFonts w:hint="eastAsia"/>
        </w:rPr>
        <w:t>2.本方案包含产品使用培训、免费3年服务器硬件维保，3年教育云平台软件维保；</w:t>
      </w:r>
    </w:p>
    <w:tbl>
      <w:tblPr>
        <w:tblStyle w:val="style105"/>
        <w:tblpPr w:leftFromText="180" w:rightFromText="180" w:topFromText="0" w:bottomFromText="0" w:vertAnchor="text" w:horzAnchor="page" w:tblpX="2637" w:tblpY="213"/>
        <w:tblOverlap w:val="never"/>
        <w:tblW w:w="79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1120"/>
        <w:gridCol w:w="1961"/>
        <w:gridCol w:w="4830"/>
      </w:tblGrid>
      <w:tr>
        <w:trPr>
          <w:trHeight w:val="425"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b/>
                <w:bCs/>
                <w:i w:val="false"/>
                <w:iCs w:val="false"/>
                <w:color w:val="000000"/>
                <w:sz w:val="20"/>
                <w:szCs w:val="20"/>
                <w:u w:val="none"/>
              </w:rPr>
            </w:pPr>
            <w:r>
              <w:rPr>
                <w:rFonts w:ascii="微软雅黑" w:cs="微软雅黑" w:eastAsia="微软雅黑" w:hAnsi="微软雅黑" w:hint="eastAsia"/>
                <w:b/>
                <w:bCs/>
                <w:i w:val="false"/>
                <w:iCs w:val="false"/>
                <w:color w:val="000000"/>
                <w:kern w:val="0"/>
                <w:sz w:val="20"/>
                <w:szCs w:val="20"/>
                <w:u w:val="none"/>
                <w:lang w:val="en-US" w:eastAsia="zh-CN"/>
              </w:rPr>
              <w:t>序号</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default"/>
                <w:b/>
                <w:bCs/>
                <w:i w:val="false"/>
                <w:iCs w:val="false"/>
                <w:color w:val="000000"/>
                <w:kern w:val="0"/>
                <w:sz w:val="20"/>
                <w:szCs w:val="20"/>
                <w:u w:val="none"/>
                <w:lang w:val="en-US" w:eastAsia="zh-CN"/>
              </w:rPr>
            </w:pPr>
            <w:r>
              <w:rPr>
                <w:rFonts w:ascii="微软雅黑" w:cs="微软雅黑" w:eastAsia="微软雅黑" w:hAnsi="微软雅黑" w:hint="eastAsia"/>
                <w:b/>
                <w:bCs/>
                <w:i w:val="false"/>
                <w:iCs w:val="false"/>
                <w:color w:val="000000"/>
                <w:kern w:val="0"/>
                <w:sz w:val="20"/>
                <w:szCs w:val="20"/>
                <w:u w:val="none"/>
                <w:lang w:val="en-US" w:eastAsia="zh-CN"/>
              </w:rPr>
              <w:t>系统</w:t>
            </w:r>
          </w:p>
        </w:tc>
        <w:tc>
          <w:tcPr>
            <w:tcW w:w="483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default"/>
                <w:b/>
                <w:bCs/>
                <w:i w:val="false"/>
                <w:iCs w:val="false"/>
                <w:color w:val="000000"/>
                <w:sz w:val="20"/>
                <w:szCs w:val="20"/>
                <w:u w:val="none"/>
                <w:lang w:val="en-US"/>
              </w:rPr>
            </w:pPr>
            <w:r>
              <w:rPr>
                <w:rFonts w:ascii="微软雅黑" w:cs="微软雅黑" w:eastAsia="微软雅黑" w:hAnsi="微软雅黑" w:hint="eastAsia"/>
                <w:b/>
                <w:bCs/>
                <w:i w:val="false"/>
                <w:iCs w:val="false"/>
                <w:color w:val="000000"/>
                <w:kern w:val="0"/>
                <w:sz w:val="20"/>
                <w:szCs w:val="20"/>
                <w:u w:val="none"/>
                <w:lang w:val="en-US" w:eastAsia="zh-CN"/>
              </w:rPr>
              <w:t>所需建设模块</w:t>
            </w:r>
          </w:p>
        </w:tc>
      </w:tr>
      <w:tr>
        <w:tblPrEx/>
        <w:trPr>
          <w:trHeight w:val="375" w:hRule="atLeast"/>
        </w:trPr>
        <w:tc>
          <w:tcPr>
            <w:tcW w:w="1120" w:type="dxa"/>
            <w:tcBorders>
              <w:top w:val="single" w:sz="4" w:space="0" w:color="000000"/>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1</w:t>
            </w:r>
          </w:p>
        </w:tc>
        <w:tc>
          <w:tcPr>
            <w:tcW w:w="1961" w:type="dxa"/>
            <w:vMerge w:val="restart"/>
            <w:tcBorders>
              <w:top w:val="single" w:sz="4" w:space="0" w:color="000000"/>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default"/>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虚拟化平台</w:t>
            </w: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实训一体机</w:t>
            </w:r>
          </w:p>
        </w:tc>
      </w:tr>
      <w:tr>
        <w:tblPrEx/>
        <w:trPr>
          <w:trHeight w:val="225" w:hRule="atLeast"/>
        </w:trPr>
        <w:tc>
          <w:tcPr>
            <w:tcW w:w="1120" w:type="dxa"/>
            <w:tcBorders>
              <w:top w:val="single" w:sz="4" w:space="0" w:color="000000"/>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2</w:t>
            </w:r>
          </w:p>
        </w:tc>
        <w:tc>
          <w:tcPr>
            <w:tcW w:w="1961" w:type="dxa"/>
            <w:vMerge w:val="continue"/>
            <w:tcBorders>
              <w:left w:val="single" w:sz="4" w:space="0" w:color="auto"/>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nil"/>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云资源建设模块</w:t>
            </w:r>
          </w:p>
        </w:tc>
      </w:tr>
      <w:tr>
        <w:tblPrEx/>
        <w:trPr>
          <w:trHeight w:val="270" w:hRule="atLeast"/>
        </w:trPr>
        <w:tc>
          <w:tcPr>
            <w:tcW w:w="1120" w:type="dxa"/>
            <w:tcBorders>
              <w:top w:val="single" w:sz="4" w:space="0" w:color="000000"/>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3</w:t>
            </w:r>
          </w:p>
        </w:tc>
        <w:tc>
          <w:tcPr>
            <w:tcW w:w="1961" w:type="dxa"/>
            <w:vMerge w:val="continue"/>
            <w:tcBorders>
              <w:left w:val="single" w:sz="4" w:space="0" w:color="auto"/>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万兆交换机</w:t>
            </w:r>
          </w:p>
        </w:tc>
      </w:tr>
      <w:tr>
        <w:tblPrEx/>
        <w:trPr>
          <w:trHeight w:val="445" w:hRule="atLeast"/>
        </w:trPr>
        <w:tc>
          <w:tcPr>
            <w:tcW w:w="1120" w:type="dxa"/>
            <w:tcBorders>
              <w:top w:val="single" w:sz="4" w:space="0" w:color="000000"/>
              <w:left w:val="single" w:sz="4" w:space="0" w:color="000000"/>
              <w:bottom w:val="single" w:sz="4" w:space="0" w:color="auto"/>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4</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智慧学习模块</w:t>
            </w:r>
          </w:p>
        </w:tc>
      </w:tr>
      <w:tr>
        <w:tblPrEx/>
        <w:trPr>
          <w:trHeight w:val="370" w:hRule="atLeast"/>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5</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实验训练模块</w:t>
            </w:r>
          </w:p>
        </w:tc>
      </w:tr>
      <w:tr>
        <w:tblPrEx/>
        <w:trPr>
          <w:trHeight w:val="460" w:hRule="atLeast"/>
        </w:trPr>
        <w:tc>
          <w:tcPr>
            <w:tcW w:w="1120" w:type="dxa"/>
            <w:tcBorders>
              <w:top w:val="single" w:sz="4" w:space="0" w:color="auto"/>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6</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auto"/>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教学管理模块</w:t>
            </w:r>
          </w:p>
        </w:tc>
      </w:tr>
      <w:tr>
        <w:tblPrEx/>
        <w:trPr>
          <w:trHeight w:val="445" w:hRule="atLeast"/>
        </w:trPr>
        <w:tc>
          <w:tcPr>
            <w:tcW w:w="1120" w:type="dxa"/>
            <w:tcBorders>
              <w:top w:val="single" w:sz="4" w:space="0" w:color="000000"/>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7</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教务管理模块</w:t>
            </w:r>
          </w:p>
        </w:tc>
      </w:tr>
      <w:tr>
        <w:tblPrEx/>
        <w:trPr>
          <w:trHeight w:val="319" w:hRule="atLeast"/>
        </w:trPr>
        <w:tc>
          <w:tcPr>
            <w:tcW w:w="1120" w:type="dxa"/>
            <w:tcBorders>
              <w:top w:val="single" w:sz="4" w:space="0" w:color="000000"/>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8</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课程管理模块</w:t>
            </w:r>
          </w:p>
        </w:tc>
      </w:tr>
      <w:tr>
        <w:tblPrEx/>
        <w:trPr>
          <w:trHeight w:val="355" w:hRule="atLeast"/>
        </w:trPr>
        <w:tc>
          <w:tcPr>
            <w:tcW w:w="1120" w:type="dxa"/>
            <w:tcBorders>
              <w:top w:val="single" w:sz="4" w:space="0" w:color="000000"/>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9</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靶场编辑模块</w:t>
            </w:r>
          </w:p>
        </w:tc>
      </w:tr>
      <w:tr>
        <w:tblPrEx/>
        <w:trPr>
          <w:trHeight w:val="385" w:hRule="atLeast"/>
        </w:trPr>
        <w:tc>
          <w:tcPr>
            <w:tcW w:w="1120" w:type="dxa"/>
            <w:tcBorders>
              <w:top w:val="single" w:sz="4" w:space="0" w:color="000000"/>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10</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考试管理模块</w:t>
            </w:r>
          </w:p>
        </w:tc>
      </w:tr>
      <w:tr>
        <w:tblPrEx/>
        <w:trPr>
          <w:trHeight w:val="430" w:hRule="atLeast"/>
        </w:trPr>
        <w:tc>
          <w:tcPr>
            <w:tcW w:w="1120" w:type="dxa"/>
            <w:tcBorders>
              <w:top w:val="single" w:sz="4" w:space="0" w:color="000000"/>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11</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态势管理模块</w:t>
            </w:r>
          </w:p>
        </w:tc>
      </w:tr>
      <w:tr>
        <w:tblPrEx/>
        <w:trPr>
          <w:trHeight w:val="415" w:hRule="atLeast"/>
        </w:trPr>
        <w:tc>
          <w:tcPr>
            <w:tcW w:w="1120" w:type="dxa"/>
            <w:tcBorders>
              <w:top w:val="single" w:sz="4" w:space="0" w:color="000000"/>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12</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认证测评模块</w:t>
            </w:r>
          </w:p>
        </w:tc>
      </w:tr>
      <w:tr>
        <w:tblPrEx/>
        <w:trPr>
          <w:trHeight w:val="325" w:hRule="atLeast"/>
        </w:trPr>
        <w:tc>
          <w:tcPr>
            <w:tcW w:w="1120" w:type="dxa"/>
            <w:tcBorders>
              <w:top w:val="single" w:sz="4" w:space="0" w:color="000000"/>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13</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技术支持服务</w:t>
            </w:r>
          </w:p>
        </w:tc>
      </w:tr>
      <w:tr>
        <w:tblPrEx/>
        <w:trPr>
          <w:trHeight w:val="280" w:hRule="atLeast"/>
        </w:trPr>
        <w:tc>
          <w:tcPr>
            <w:tcW w:w="1120" w:type="dxa"/>
            <w:tcBorders>
              <w:top w:val="single" w:sz="4" w:space="0" w:color="000000"/>
              <w:left w:val="single" w:sz="4" w:space="0" w:color="000000"/>
              <w:bottom w:val="single" w:sz="4" w:space="0" w:color="auto"/>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14</w:t>
            </w:r>
          </w:p>
        </w:tc>
        <w:tc>
          <w:tcPr>
            <w:tcW w:w="1961" w:type="dxa"/>
            <w:vMerge w:val="continue"/>
            <w:tcBorders>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软件升级</w:t>
            </w:r>
          </w:p>
        </w:tc>
      </w:tr>
      <w:tr>
        <w:tblPrEx/>
        <w:trPr>
          <w:trHeight w:val="465" w:hRule="atLeast"/>
        </w:trPr>
        <w:tc>
          <w:tcPr>
            <w:tcW w:w="1120" w:type="dxa"/>
            <w:tcBorders>
              <w:top w:val="single" w:sz="4" w:space="0" w:color="auto"/>
              <w:left w:val="single" w:sz="4" w:space="0" w:color="auto"/>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15</w:t>
            </w:r>
          </w:p>
        </w:tc>
        <w:tc>
          <w:tcPr>
            <w:tcW w:w="1961" w:type="dxa"/>
            <w:vMerge w:val="restart"/>
            <w:tcBorders>
              <w:top w:val="single" w:sz="4" w:space="0" w:color="000000"/>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default"/>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所需课程资源与之相对应的实训资源包</w:t>
            </w: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安全基础课程</w:t>
            </w:r>
          </w:p>
        </w:tc>
      </w:tr>
      <w:tr>
        <w:tblPrEx/>
        <w:trPr>
          <w:trHeight w:val="330" w:hRule="atLeast"/>
        </w:trPr>
        <w:tc>
          <w:tcPr>
            <w:tcW w:w="1120" w:type="dxa"/>
            <w:tcBorders>
              <w:top w:val="single" w:sz="4" w:space="0" w:color="000000"/>
              <w:left w:val="single" w:sz="4" w:space="0" w:color="auto"/>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16</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nil"/>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安全基础实训靶场资源包</w:t>
            </w:r>
          </w:p>
        </w:tc>
      </w:tr>
      <w:tr>
        <w:tblPrEx/>
        <w:trPr>
          <w:trHeight w:val="450" w:hRule="atLeast"/>
        </w:trPr>
        <w:tc>
          <w:tcPr>
            <w:tcW w:w="1120" w:type="dxa"/>
            <w:tcBorders>
              <w:top w:val="single" w:sz="4" w:space="0" w:color="000000"/>
              <w:left w:val="single" w:sz="4" w:space="0" w:color="auto"/>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17</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Windows系统与服务器安全管理</w:t>
            </w:r>
          </w:p>
        </w:tc>
      </w:tr>
      <w:tr>
        <w:tblPrEx/>
        <w:trPr>
          <w:trHeight w:val="345" w:hRule="atLeast"/>
        </w:trPr>
        <w:tc>
          <w:tcPr>
            <w:tcW w:w="1120" w:type="dxa"/>
            <w:tcBorders>
              <w:top w:val="single" w:sz="4" w:space="0" w:color="000000"/>
              <w:left w:val="single" w:sz="4" w:space="0" w:color="auto"/>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default"/>
                <w:i w:val="false"/>
                <w:iCs w:val="false"/>
                <w:color w:val="000000"/>
                <w:sz w:val="20"/>
                <w:szCs w:val="20"/>
                <w:u w:val="none"/>
                <w:lang w:val="en-US" w:eastAsia="zh-CN"/>
              </w:rPr>
            </w:pPr>
            <w:r>
              <w:rPr>
                <w:rFonts w:ascii="微软雅黑" w:cs="微软雅黑" w:eastAsia="微软雅黑" w:hAnsi="微软雅黑" w:hint="eastAsia"/>
                <w:i w:val="false"/>
                <w:iCs w:val="false"/>
                <w:color w:val="000000"/>
                <w:sz w:val="20"/>
                <w:szCs w:val="20"/>
                <w:u w:val="none"/>
                <w:lang w:val="en-US" w:eastAsia="zh-CN"/>
              </w:rPr>
              <w:t>18</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Web安全与防护技术</w:t>
            </w:r>
          </w:p>
        </w:tc>
      </w:tr>
      <w:tr>
        <w:tblPrEx/>
        <w:trPr>
          <w:trHeight w:val="600" w:hRule="atLeast"/>
        </w:trPr>
        <w:tc>
          <w:tcPr>
            <w:tcW w:w="1120" w:type="dxa"/>
            <w:tcBorders>
              <w:top w:val="single" w:sz="4" w:space="0" w:color="000000"/>
              <w:left w:val="single" w:sz="4" w:space="0" w:color="auto"/>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2"/>
                <w:sz w:val="20"/>
                <w:szCs w:val="20"/>
                <w:u w:val="none"/>
                <w:lang w:val="en-US" w:bidi="ar-SA" w:eastAsia="zh-CN"/>
              </w:rPr>
            </w:pPr>
            <w:r>
              <w:rPr>
                <w:rFonts w:ascii="微软雅黑" w:cs="微软雅黑" w:eastAsia="微软雅黑" w:hAnsi="微软雅黑" w:hint="eastAsia"/>
                <w:i w:val="false"/>
                <w:iCs w:val="false"/>
                <w:color w:val="000000"/>
                <w:kern w:val="0"/>
                <w:sz w:val="20"/>
                <w:szCs w:val="20"/>
                <w:u w:val="none"/>
                <w:lang w:val="en-US" w:eastAsia="zh-CN"/>
              </w:rPr>
              <w:t>19</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nil"/>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终端安全管理技术</w:t>
            </w:r>
          </w:p>
        </w:tc>
      </w:tr>
      <w:tr>
        <w:tblPrEx/>
        <w:trPr>
          <w:trHeight w:val="597" w:hRule="atLeast"/>
        </w:trPr>
        <w:tc>
          <w:tcPr>
            <w:tcW w:w="1120" w:type="dxa"/>
            <w:tcBorders>
              <w:top w:val="single" w:sz="4" w:space="0" w:color="000000"/>
              <w:left w:val="single" w:sz="4" w:space="0" w:color="auto"/>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2"/>
                <w:sz w:val="20"/>
                <w:szCs w:val="20"/>
                <w:u w:val="none"/>
                <w:lang w:val="en-US" w:bidi="ar-SA" w:eastAsia="zh-CN"/>
              </w:rPr>
            </w:pPr>
            <w:r>
              <w:rPr>
                <w:rFonts w:ascii="微软雅黑" w:cs="微软雅黑" w:eastAsia="微软雅黑" w:hAnsi="微软雅黑" w:hint="eastAsia"/>
                <w:i w:val="false"/>
                <w:iCs w:val="false"/>
                <w:color w:val="000000"/>
                <w:kern w:val="0"/>
                <w:sz w:val="20"/>
                <w:szCs w:val="20"/>
                <w:u w:val="none"/>
                <w:lang w:val="en-US" w:eastAsia="zh-CN"/>
              </w:rPr>
              <w:t>20</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网络安全技术基础</w:t>
            </w:r>
          </w:p>
        </w:tc>
      </w:tr>
      <w:tr>
        <w:tblPrEx/>
        <w:trPr>
          <w:trHeight w:val="225" w:hRule="atLeast"/>
        </w:trPr>
        <w:tc>
          <w:tcPr>
            <w:tcW w:w="1120" w:type="dxa"/>
            <w:tcBorders>
              <w:top w:val="single" w:sz="4" w:space="0" w:color="000000"/>
              <w:left w:val="single" w:sz="4" w:space="0" w:color="auto"/>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2"/>
                <w:sz w:val="20"/>
                <w:szCs w:val="20"/>
                <w:u w:val="none"/>
                <w:lang w:val="en-US" w:bidi="ar-SA" w:eastAsia="zh-CN"/>
              </w:rPr>
            </w:pPr>
            <w:r>
              <w:rPr>
                <w:rFonts w:ascii="微软雅黑" w:cs="微软雅黑" w:eastAsia="微软雅黑" w:hAnsi="微软雅黑" w:hint="eastAsia"/>
                <w:i w:val="false"/>
                <w:iCs w:val="false"/>
                <w:color w:val="000000"/>
                <w:kern w:val="0"/>
                <w:sz w:val="20"/>
                <w:szCs w:val="20"/>
                <w:u w:val="none"/>
                <w:lang w:val="en-US" w:eastAsia="zh-CN"/>
              </w:rPr>
              <w:t>21</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nil"/>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入侵检测与防御技术</w:t>
            </w:r>
          </w:p>
        </w:tc>
      </w:tr>
      <w:tr>
        <w:tblPrEx/>
        <w:trPr>
          <w:trHeight w:val="315" w:hRule="atLeast"/>
        </w:trPr>
        <w:tc>
          <w:tcPr>
            <w:tcW w:w="1120" w:type="dxa"/>
            <w:tcBorders>
              <w:top w:val="single" w:sz="4" w:space="0" w:color="000000"/>
              <w:left w:val="single" w:sz="4" w:space="0" w:color="auto"/>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2"/>
                <w:sz w:val="20"/>
                <w:szCs w:val="20"/>
                <w:u w:val="none"/>
                <w:lang w:val="en-US" w:bidi="ar-SA" w:eastAsia="zh-CN"/>
              </w:rPr>
            </w:pPr>
            <w:r>
              <w:rPr>
                <w:rFonts w:ascii="微软雅黑" w:cs="微软雅黑" w:eastAsia="微软雅黑" w:hAnsi="微软雅黑" w:hint="eastAsia"/>
                <w:i w:val="false"/>
                <w:iCs w:val="false"/>
                <w:color w:val="000000"/>
                <w:kern w:val="0"/>
                <w:sz w:val="20"/>
                <w:szCs w:val="20"/>
                <w:u w:val="none"/>
                <w:lang w:val="en-US" w:eastAsia="zh-CN"/>
              </w:rPr>
              <w:t>22</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安全评估与漏洞扫描</w:t>
            </w:r>
          </w:p>
        </w:tc>
      </w:tr>
      <w:tr>
        <w:tblPrEx/>
        <w:trPr>
          <w:trHeight w:val="465" w:hRule="atLeast"/>
        </w:trPr>
        <w:tc>
          <w:tcPr>
            <w:tcW w:w="1120" w:type="dxa"/>
            <w:tcBorders>
              <w:top w:val="single" w:sz="4" w:space="0" w:color="000000"/>
              <w:left w:val="single" w:sz="4" w:space="0" w:color="auto"/>
              <w:bottom w:val="single" w:sz="4" w:space="0" w:color="auto"/>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2"/>
                <w:sz w:val="20"/>
                <w:szCs w:val="20"/>
                <w:u w:val="none"/>
                <w:lang w:val="en-US" w:bidi="ar-SA" w:eastAsia="zh-CN"/>
              </w:rPr>
            </w:pPr>
            <w:r>
              <w:rPr>
                <w:rFonts w:ascii="微软雅黑" w:cs="微软雅黑" w:eastAsia="微软雅黑" w:hAnsi="微软雅黑" w:hint="eastAsia"/>
                <w:i w:val="false"/>
                <w:iCs w:val="false"/>
                <w:color w:val="000000"/>
                <w:kern w:val="0"/>
                <w:sz w:val="20"/>
                <w:szCs w:val="20"/>
                <w:u w:val="none"/>
                <w:lang w:val="en-US" w:eastAsia="zh-CN"/>
              </w:rPr>
              <w:t>23</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云计算与虚拟化技术</w:t>
            </w:r>
          </w:p>
        </w:tc>
      </w:tr>
      <w:tr>
        <w:tblPrEx/>
        <w:trPr>
          <w:trHeight w:val="405" w:hRule="atLeast"/>
        </w:trPr>
        <w:tc>
          <w:tcPr>
            <w:tcW w:w="1120" w:type="dxa"/>
            <w:tcBorders>
              <w:top w:val="single" w:sz="4" w:space="0" w:color="auto"/>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2"/>
                <w:sz w:val="20"/>
                <w:szCs w:val="20"/>
                <w:u w:val="none"/>
                <w:lang w:val="en-US" w:bidi="ar-SA" w:eastAsia="zh-CN"/>
              </w:rPr>
            </w:pPr>
            <w:r>
              <w:rPr>
                <w:rFonts w:ascii="微软雅黑" w:cs="微软雅黑" w:eastAsia="微软雅黑" w:hAnsi="微软雅黑" w:hint="eastAsia"/>
                <w:i w:val="false"/>
                <w:iCs w:val="false"/>
                <w:color w:val="000000"/>
                <w:kern w:val="0"/>
                <w:sz w:val="20"/>
                <w:szCs w:val="20"/>
                <w:u w:val="none"/>
                <w:lang w:val="en-US" w:eastAsia="zh-CN"/>
              </w:rPr>
              <w:t>24</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nil"/>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网络协议分析</w:t>
            </w:r>
          </w:p>
        </w:tc>
      </w:tr>
      <w:tr>
        <w:tblPrEx/>
        <w:trPr>
          <w:trHeight w:val="330"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2"/>
                <w:sz w:val="20"/>
                <w:szCs w:val="20"/>
                <w:u w:val="none"/>
                <w:lang w:val="en-US" w:bidi="ar-SA" w:eastAsia="zh-CN"/>
              </w:rPr>
            </w:pPr>
            <w:r>
              <w:rPr>
                <w:rFonts w:ascii="微软雅黑" w:cs="微软雅黑" w:eastAsia="微软雅黑" w:hAnsi="微软雅黑" w:hint="eastAsia"/>
                <w:i w:val="false"/>
                <w:iCs w:val="false"/>
                <w:color w:val="000000"/>
                <w:kern w:val="0"/>
                <w:sz w:val="20"/>
                <w:szCs w:val="20"/>
                <w:u w:val="none"/>
                <w:lang w:val="en-US" w:eastAsia="zh-CN"/>
              </w:rPr>
              <w:t>25</w:t>
            </w:r>
          </w:p>
        </w:tc>
        <w:tc>
          <w:tcPr>
            <w:tcW w:w="1961" w:type="dxa"/>
            <w:vMerge w:val="continue"/>
            <w:tcBorders>
              <w:left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渗透测试技术</w:t>
            </w:r>
          </w:p>
        </w:tc>
      </w:tr>
      <w:tr>
        <w:tblPrEx/>
        <w:trPr>
          <w:trHeight w:val="510"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2"/>
                <w:sz w:val="20"/>
                <w:szCs w:val="20"/>
                <w:u w:val="none"/>
                <w:lang w:val="en-US" w:bidi="ar-SA" w:eastAsia="zh-CN"/>
              </w:rPr>
            </w:pPr>
            <w:r>
              <w:rPr>
                <w:rFonts w:ascii="微软雅黑" w:cs="微软雅黑" w:eastAsia="微软雅黑" w:hAnsi="微软雅黑" w:hint="eastAsia"/>
                <w:i w:val="false"/>
                <w:iCs w:val="false"/>
                <w:color w:val="000000"/>
                <w:kern w:val="0"/>
                <w:sz w:val="20"/>
                <w:szCs w:val="20"/>
                <w:u w:val="none"/>
                <w:lang w:val="en-US" w:eastAsia="zh-CN"/>
              </w:rPr>
              <w:t>26</w:t>
            </w:r>
          </w:p>
        </w:tc>
        <w:tc>
          <w:tcPr>
            <w:tcW w:w="1961" w:type="dxa"/>
            <w:vMerge w:val="continue"/>
            <w:tcBorders>
              <w:left w:val="single" w:sz="4" w:space="0" w:color="auto"/>
              <w:bottom w:val="nil"/>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nil"/>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下一代防火墙技术</w:t>
            </w:r>
          </w:p>
        </w:tc>
      </w:tr>
      <w:tr>
        <w:tblPrEx/>
        <w:trPr>
          <w:trHeight w:val="510"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2"/>
                <w:sz w:val="20"/>
                <w:szCs w:val="20"/>
                <w:u w:val="none"/>
                <w:lang w:val="en-US" w:bidi="ar-SA" w:eastAsia="zh-CN"/>
              </w:rPr>
            </w:pPr>
            <w:r>
              <w:rPr>
                <w:rFonts w:ascii="微软雅黑" w:cs="微软雅黑" w:eastAsia="微软雅黑" w:hAnsi="微软雅黑" w:hint="eastAsia"/>
                <w:i w:val="false"/>
                <w:iCs w:val="false"/>
                <w:color w:val="000000"/>
                <w:kern w:val="0"/>
                <w:sz w:val="20"/>
                <w:szCs w:val="20"/>
                <w:u w:val="none"/>
                <w:lang w:val="en-US" w:eastAsia="zh-CN"/>
              </w:rPr>
              <w:t>27</w:t>
            </w:r>
          </w:p>
        </w:tc>
        <w:tc>
          <w:tcPr>
            <w:tcW w:w="1961" w:type="dxa"/>
            <w:tcBorders>
              <w:left w:val="single" w:sz="4" w:space="0" w:color="auto"/>
              <w:bottom w:val="nil"/>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nil"/>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应急响应与处置技术</w:t>
            </w:r>
          </w:p>
        </w:tc>
      </w:tr>
      <w:tr>
        <w:tblPrEx/>
        <w:trPr>
          <w:trHeight w:val="510"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default"/>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28</w:t>
            </w:r>
            <w:bookmarkStart w:id="3" w:name="_GoBack"/>
            <w:bookmarkEnd w:id="3"/>
          </w:p>
        </w:tc>
        <w:tc>
          <w:tcPr>
            <w:tcW w:w="1961" w:type="dxa"/>
            <w:tcBorders>
              <w:left w:val="single" w:sz="4" w:space="0" w:color="auto"/>
              <w:bottom w:val="nil"/>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auto"/>
              <w:bottom w:val="nil"/>
              <w:right w:val="single" w:sz="4" w:space="0" w:color="000000"/>
            </w:tcBorders>
            <w:shd w:val="clear" w:color="auto" w:fill="auto"/>
            <w:vAlign w:val="bottom"/>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数据安全与防护技术</w:t>
            </w:r>
          </w:p>
        </w:tc>
      </w:tr>
      <w:tr>
        <w:tblPrEx/>
        <w:trPr>
          <w:trHeight w:val="493"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29</w:t>
            </w:r>
          </w:p>
        </w:tc>
        <w:tc>
          <w:tcPr>
            <w:tcW w:w="1961" w:type="dxa"/>
            <w:vMerge w:val="restart"/>
            <w:tcBorders>
              <w:top w:val="single" w:sz="4" w:space="0" w:color="000000"/>
              <w:left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default"/>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硬件设备</w:t>
            </w:r>
          </w:p>
        </w:tc>
        <w:tc>
          <w:tcPr>
            <w:tcW w:w="4830" w:type="dxa"/>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安全沙盒</w:t>
            </w:r>
          </w:p>
        </w:tc>
      </w:tr>
      <w:tr>
        <w:tblPrEx/>
        <w:trPr>
          <w:trHeight w:val="535"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30</w:t>
            </w:r>
          </w:p>
        </w:tc>
        <w:tc>
          <w:tcPr>
            <w:tcW w:w="1961" w:type="dxa"/>
            <w:vMerge w:val="continue"/>
            <w:tcBorders>
              <w:left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三层交换机</w:t>
            </w:r>
          </w:p>
        </w:tc>
      </w:tr>
      <w:tr>
        <w:tblPrEx/>
        <w:trPr>
          <w:trHeight w:val="460"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31</w:t>
            </w:r>
          </w:p>
        </w:tc>
        <w:tc>
          <w:tcPr>
            <w:tcW w:w="1961" w:type="dxa"/>
            <w:vMerge w:val="continue"/>
            <w:tcBorders>
              <w:left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default"/>
                <w:i w:val="false"/>
                <w:iCs w:val="false"/>
                <w:color w:val="000000"/>
                <w:kern w:val="0"/>
                <w:sz w:val="20"/>
                <w:szCs w:val="20"/>
                <w:u w:val="none"/>
                <w:lang w:val="en-US" w:eastAsia="zh-CN"/>
              </w:rPr>
            </w:pPr>
          </w:p>
        </w:tc>
        <w:tc>
          <w:tcPr>
            <w:tcW w:w="4830" w:type="dxa"/>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 xml:space="preserve"> 下一代防火墙</w:t>
            </w:r>
          </w:p>
        </w:tc>
      </w:tr>
      <w:tr>
        <w:tblPrEx/>
        <w:trPr>
          <w:trHeight w:val="378"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32</w:t>
            </w:r>
          </w:p>
        </w:tc>
        <w:tc>
          <w:tcPr>
            <w:tcW w:w="1961" w:type="dxa"/>
            <w:vMerge w:val="continue"/>
            <w:tcBorders>
              <w:left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 xml:space="preserve"> WEB应用防火墙</w:t>
            </w:r>
          </w:p>
        </w:tc>
      </w:tr>
      <w:tr>
        <w:tblPrEx/>
        <w:trPr>
          <w:trHeight w:val="693"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33</w:t>
            </w:r>
          </w:p>
        </w:tc>
        <w:tc>
          <w:tcPr>
            <w:tcW w:w="1961" w:type="dxa"/>
            <w:vMerge w:val="continue"/>
            <w:tcBorders>
              <w:left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网络日志系统</w:t>
            </w:r>
          </w:p>
        </w:tc>
      </w:tr>
      <w:tr>
        <w:tblPrEx/>
        <w:trPr>
          <w:trHeight w:val="535"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34</w:t>
            </w:r>
          </w:p>
        </w:tc>
        <w:tc>
          <w:tcPr>
            <w:tcW w:w="1961" w:type="dxa"/>
            <w:vMerge w:val="continue"/>
            <w:tcBorders>
              <w:left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无线控制器</w:t>
            </w:r>
          </w:p>
        </w:tc>
      </w:tr>
      <w:tr>
        <w:tblPrEx/>
        <w:trPr>
          <w:trHeight w:val="415"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35</w:t>
            </w:r>
          </w:p>
        </w:tc>
        <w:tc>
          <w:tcPr>
            <w:tcW w:w="1961" w:type="dxa"/>
            <w:vMerge w:val="continue"/>
            <w:tcBorders>
              <w:left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000000"/>
              <w:bottom w:val="nil"/>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无线AP</w:t>
            </w:r>
          </w:p>
        </w:tc>
      </w:tr>
      <w:tr>
        <w:tblPrEx/>
        <w:trPr>
          <w:trHeight w:val="333" w:hRule="atLeast"/>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36</w:t>
            </w:r>
          </w:p>
        </w:tc>
        <w:tc>
          <w:tcPr>
            <w:tcW w:w="1961" w:type="dxa"/>
            <w:vMerge w:val="continue"/>
            <w:tcBorders>
              <w:left w:val="single" w:sz="4" w:space="0" w:color="000000"/>
              <w:bottom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kern w:val="0"/>
                <w:sz w:val="20"/>
                <w:szCs w:val="20"/>
                <w:u w:val="none"/>
                <w:lang w:val="en-US" w:eastAsia="zh-CN"/>
              </w:rPr>
            </w:pPr>
          </w:p>
        </w:tc>
        <w:tc>
          <w:tcPr>
            <w:tcW w:w="4830" w:type="dxa"/>
            <w:tcBorders>
              <w:top w:val="single" w:sz="4" w:space="0" w:color="000000"/>
              <w:left w:val="single" w:sz="4" w:space="0" w:color="000000"/>
              <w:bottom w:val="single" w:sz="4" w:space="0" w:color="auto"/>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DCWL-PoEINJ-G+ 单口PoE模块</w:t>
            </w:r>
          </w:p>
        </w:tc>
      </w:tr>
      <w:tr>
        <w:tblPrEx/>
        <w:trPr>
          <w:trHeight w:val="465" w:hRule="atLeast"/>
        </w:trPr>
        <w:tc>
          <w:tcPr>
            <w:tcW w:w="1120" w:type="dxa"/>
            <w:tcBorders>
              <w:top w:val="single" w:sz="4" w:space="0" w:color="000000"/>
              <w:left w:val="single" w:sz="4" w:space="0" w:color="000000"/>
              <w:bottom w:val="single" w:sz="4" w:space="0" w:color="000000"/>
              <w:right w:val="single" w:sz="4" w:space="0" w:color="auto"/>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37</w:t>
            </w:r>
          </w:p>
        </w:tc>
        <w:tc>
          <w:tcPr>
            <w:tcW w:w="1961" w:type="dxa"/>
            <w:tcBorders>
              <w:top w:val="single" w:sz="4" w:space="0" w:color="auto"/>
              <w:left w:val="single" w:sz="4" w:space="0" w:color="000000"/>
              <w:bottom w:val="single" w:sz="4" w:space="0" w:color="auto"/>
              <w:right w:val="single" w:sz="4" w:space="0" w:color="auto"/>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default"/>
                <w:i w:val="false"/>
                <w:iCs w:val="false"/>
                <w:color w:val="000000"/>
                <w:kern w:val="0"/>
                <w:sz w:val="20"/>
                <w:szCs w:val="20"/>
                <w:u w:val="none"/>
                <w:lang w:val="en-US" w:eastAsia="zh-CN"/>
              </w:rPr>
            </w:pPr>
            <w:r>
              <w:rPr>
                <w:rFonts w:ascii="微软雅黑" w:cs="微软雅黑" w:eastAsia="微软雅黑" w:hAnsi="微软雅黑" w:hint="eastAsia"/>
                <w:i w:val="false"/>
                <w:iCs w:val="false"/>
                <w:color w:val="000000"/>
                <w:kern w:val="0"/>
                <w:sz w:val="20"/>
                <w:szCs w:val="20"/>
                <w:u w:val="none"/>
                <w:lang w:val="en-US" w:eastAsia="zh-CN"/>
              </w:rPr>
              <w:t>师资培训</w:t>
            </w:r>
          </w:p>
        </w:tc>
        <w:tc>
          <w:tcPr>
            <w:tcW w:w="4830" w:type="dxa"/>
            <w:tcBorders>
              <w:top w:val="single" w:sz="4" w:space="0" w:color="auto"/>
              <w:left w:val="single" w:sz="4" w:space="0" w:color="000000"/>
              <w:bottom w:val="single" w:sz="4" w:space="0" w:color="auto"/>
              <w:right w:val="single" w:sz="4" w:space="0" w:color="auto"/>
            </w:tcBorders>
            <w:shd w:val="clear" w:color="auto" w:fill="auto"/>
            <w:vAlign w:val="center"/>
          </w:tcPr>
          <w:p>
            <w:pPr>
              <w:pStyle w:val="style0"/>
              <w:keepNext w:val="false"/>
              <w:keepLines w:val="false"/>
              <w:widowControl/>
              <w:suppressLineNumbers w:val="false"/>
              <w:jc w:val="center"/>
              <w:textAlignment w:val="center"/>
              <w:rPr>
                <w:rFonts w:ascii="微软雅黑" w:cs="微软雅黑" w:eastAsia="微软雅黑" w:hAnsi="微软雅黑" w:hint="default"/>
                <w:i w:val="false"/>
                <w:iCs w:val="false"/>
                <w:color w:val="000000"/>
                <w:sz w:val="20"/>
                <w:szCs w:val="20"/>
                <w:u w:val="none"/>
                <w:lang w:val="en-US" w:eastAsia="zh-CN"/>
              </w:rPr>
            </w:pPr>
            <w:r>
              <w:rPr>
                <w:rFonts w:ascii="微软雅黑" w:cs="微软雅黑" w:eastAsia="微软雅黑" w:hAnsi="微软雅黑" w:hint="eastAsia"/>
                <w:i w:val="false"/>
                <w:iCs w:val="false"/>
                <w:color w:val="000000"/>
                <w:sz w:val="20"/>
                <w:szCs w:val="20"/>
                <w:u w:val="none"/>
                <w:lang w:val="en-US" w:eastAsia="zh-CN"/>
              </w:rPr>
              <w:t>包含对教师的信息安全专业技能培训</w:t>
            </w:r>
          </w:p>
        </w:tc>
      </w:tr>
    </w:tbl>
    <w:p>
      <w:pPr>
        <w:pStyle w:val="style0"/>
        <w:rPr/>
      </w:pPr>
    </w:p>
    <w:p>
      <w:pPr>
        <w:pStyle w:val="style0"/>
        <w:widowControl/>
        <w:jc w:val="left"/>
        <w:rPr>
          <w:color w:val="auto"/>
        </w:rPr>
      </w:pPr>
      <w:r>
        <w:br w:type="page"/>
      </w:r>
    </w:p>
    <w:p>
      <w:pPr>
        <w:pStyle w:val="style0"/>
        <w:spacing w:lineRule="auto" w:line="360"/>
        <w:jc w:val="left"/>
        <w:rPr>
          <w:rFonts w:ascii="仿宋_GB2312" w:cs="仿宋_GB2312" w:eastAsia="仿宋_GB2312" w:hAnsi="仿宋_GB2312"/>
          <w:b/>
          <w:bCs/>
          <w:sz w:val="24"/>
          <w:szCs w:val="24"/>
        </w:rPr>
      </w:pPr>
    </w:p>
    <w:sectPr>
      <w:pgSz w:w="11906" w:h="16838" w:orient="portrait"/>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altName w:val="微软雅黑"/>
    <w:panose1 w:val="020b0503020000020204"/>
    <w:charset w:val="86"/>
    <w:family w:val="auto"/>
    <w:pitch w:val="default"/>
    <w:sig w:usb0="80000287" w:usb1="2ACF3C50" w:usb2="00000016" w:usb3="00000000" w:csb0="0004001F" w:csb1="00000000"/>
  </w:font>
  <w:font w:name="方正小标宋_GBK">
    <w:altName w:val="方正小标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00"/>
    <w:family w:val="roman"/>
    <w:pitch w:val="default"/>
    <w:sig w:usb0="00000000" w:usb1="00000000" w:usb2="00000008" w:usb3="00000000" w:csb0="000001FF" w:csb1="00000000"/>
  </w:font>
  <w:font w:name="仿宋">
    <w:altName w:val="仿宋"/>
    <w:panose1 w:val="02010609060000010101"/>
    <w:charset w:val="86"/>
    <w:family w:val="auto"/>
    <w:pitch w:val="default"/>
    <w:sig w:usb0="800002BF" w:usb1="38CF7CFA" w:usb2="00000016" w:usb3="00000000" w:csb0="00040001" w:csb1="00000000"/>
  </w:font>
  <w:font w:name="楷体">
    <w:altName w:val="楷体"/>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1"/>
    <w:lvl w:ilvl="0">
      <w:start w:val="2"/>
      <w:numFmt w:val="chineseCounting"/>
      <w:suff w:val="nothing"/>
      <w:lvlText w:val="%1、"/>
      <w:lvlJc w:val="left"/>
      <w:pPr/>
      <w:rPr>
        <w:rFonts w:hint="eastAsia"/>
      </w:rPr>
    </w:lvl>
  </w:abstractNum>
  <w:abstractNum w:abstractNumId="1">
    <w:nsid w:val="00000001"/>
    <w:multiLevelType w:val="singleLevel"/>
    <w:tmpl w:val="00000002"/>
    <w:lvl w:ilvl="0">
      <w:start w:val="1"/>
      <w:numFmt w:val="decimal"/>
      <w:suff w:val="nothing"/>
      <w:lvlText w:val="%1、"/>
      <w:lvlJc w:val="left"/>
      <w:pPr/>
    </w:lvl>
  </w:abstractNum>
  <w:abstractNum w:abstractNumId="2">
    <w:nsid w:val="00000002"/>
    <w:multiLevelType w:val="singleLevel"/>
    <w:tmpl w:val="0053208E"/>
    <w:lvl w:ilvl="0">
      <w:start w:val="1"/>
      <w:numFmt w:val="chineseCounting"/>
      <w:pStyle w:val="style1"/>
      <w:suff w:val="nothing"/>
      <w:lvlText w:val="%1、"/>
      <w:lvlJc w:val="left"/>
      <w:pPr/>
      <w:rPr>
        <w:rFonts w:hint="eastAsia"/>
      </w:rPr>
    </w:lvl>
  </w:abstractNum>
  <w:abstractNum w:abstractNumId="3">
    <w:nsid w:val="00000003"/>
    <w:multiLevelType w:val="multilevel"/>
    <w:tmpl w:val="1F6512AA"/>
    <w:lvl w:ilvl="0">
      <w:start w:val="1"/>
      <w:numFmt w:val="japaneseCounting"/>
      <w:lvlText w:val="第%1章"/>
      <w:lvlJc w:val="left"/>
      <w:pPr>
        <w:tabs>
          <w:tab w:val="left" w:leader="none" w:pos="425"/>
        </w:tabs>
        <w:ind w:left="425" w:hanging="425"/>
      </w:pPr>
      <w:rPr>
        <w:rFonts w:hint="default"/>
      </w:rPr>
    </w:lvl>
    <w:lvl w:ilvl="1">
      <w:start w:val="1"/>
      <w:numFmt w:val="decimal"/>
      <w:pStyle w:val="style2"/>
      <w:isLgl/>
      <w:lvlText w:val="%1.%2."/>
      <w:lvlJc w:val="left"/>
      <w:pPr>
        <w:tabs>
          <w:tab w:val="left" w:leader="none" w:pos="567"/>
        </w:tabs>
        <w:ind w:left="567" w:hanging="567"/>
      </w:pPr>
      <w:rPr>
        <w:rFonts w:ascii="微软雅黑" w:eastAsia="微软雅黑" w:hAnsi="微软雅黑" w:hint="eastAsia"/>
        <w:sz w:val="28"/>
      </w:rPr>
    </w:lvl>
    <w:lvl w:ilvl="2">
      <w:start w:val="1"/>
      <w:numFmt w:val="decimal"/>
      <w:isLgl/>
      <w:lvlText w:val="%1.%2.%3."/>
      <w:lvlJc w:val="left"/>
      <w:pPr>
        <w:tabs>
          <w:tab w:val="left" w:leader="none" w:pos="1135"/>
        </w:tabs>
        <w:ind w:left="1135" w:hanging="709"/>
      </w:pPr>
      <w:rPr>
        <w:rFonts w:ascii="微软雅黑" w:eastAsia="微软雅黑" w:hAnsi="微软雅黑" w:hint="eastAsia"/>
        <w:sz w:val="24"/>
        <w:szCs w:val="21"/>
      </w:rPr>
    </w:lvl>
    <w:lvl w:ilvl="3">
      <w:start w:val="1"/>
      <w:numFmt w:val="decimal"/>
      <w:isLgl/>
      <w:lvlText w:val="%1.%2.%3.%4."/>
      <w:lvlJc w:val="left"/>
      <w:pPr>
        <w:tabs>
          <w:tab w:val="left" w:leader="none" w:pos="851"/>
        </w:tabs>
        <w:ind w:left="851" w:hanging="851"/>
      </w:pPr>
      <w:rPr>
        <w:rFonts w:ascii="宋体" w:eastAsia="宋体" w:hAnsi="宋体" w:hint="eastAsia"/>
      </w:rPr>
    </w:lvl>
    <w:lvl w:ilvl="4">
      <w:start w:val="1"/>
      <w:numFmt w:val="decimal"/>
      <w:isLgl/>
      <w:lvlText w:val="%1.%2.%3.%4.%5."/>
      <w:lvlJc w:val="left"/>
      <w:pPr>
        <w:tabs>
          <w:tab w:val="left" w:leader="none" w:pos="992"/>
        </w:tabs>
        <w:ind w:left="992" w:hanging="992"/>
      </w:pPr>
      <w:rPr>
        <w:rFonts w:hint="eastAsia"/>
      </w:rPr>
    </w:lvl>
    <w:lvl w:ilvl="5">
      <w:start w:val="1"/>
      <w:numFmt w:val="decimal"/>
      <w:isLgl/>
      <w:lvlText w:val="%1.%2.%3.%4.%5.%6."/>
      <w:lvlJc w:val="left"/>
      <w:pPr>
        <w:tabs>
          <w:tab w:val="left" w:leader="none" w:pos="1134"/>
        </w:tabs>
        <w:ind w:left="1134" w:hanging="1134"/>
      </w:pPr>
      <w:rPr>
        <w:rFonts w:hint="eastAsia"/>
      </w:rPr>
    </w:lvl>
    <w:lvl w:ilvl="6">
      <w:start w:val="1"/>
      <w:numFmt w:val="decimal"/>
      <w:isLgl/>
      <w:lvlText w:val="%1.%2.%3.%4.%5.%6.%7."/>
      <w:lvlJc w:val="left"/>
      <w:pPr>
        <w:tabs>
          <w:tab w:val="left" w:leader="none" w:pos="1276"/>
        </w:tabs>
        <w:ind w:left="1276" w:hanging="1276"/>
      </w:pPr>
      <w:rPr>
        <w:rFonts w:hint="eastAsia"/>
      </w:rPr>
    </w:lvl>
    <w:lvl w:ilvl="7">
      <w:start w:val="1"/>
      <w:numFmt w:val="decimal"/>
      <w:isLgl/>
      <w:lvlText w:val="%1.%2.%3.%4.%5.%6.%7.%8."/>
      <w:lvlJc w:val="left"/>
      <w:pPr>
        <w:tabs>
          <w:tab w:val="left" w:leader="none" w:pos="1418"/>
        </w:tabs>
        <w:ind w:left="1418" w:hanging="1418"/>
      </w:pPr>
      <w:rPr>
        <w:rFonts w:hint="eastAsia"/>
      </w:rPr>
    </w:lvl>
    <w:lvl w:ilvl="8">
      <w:start w:val="1"/>
      <w:numFmt w:val="decimal"/>
      <w:isLgl/>
      <w:lvlText w:val="%1.%2.%3.%4.%5.%6.%7.%8.%9."/>
      <w:lvlJc w:val="left"/>
      <w:pPr>
        <w:tabs>
          <w:tab w:val="left" w:leader="none" w:pos="1559"/>
        </w:tabs>
        <w:ind w:left="1559" w:hanging="1559"/>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paragraph" w:styleId="style1">
    <w:name w:val="heading 1"/>
    <w:basedOn w:val="style0"/>
    <w:next w:val="style0"/>
    <w:link w:val="style4100"/>
    <w:qFormat/>
    <w:uiPriority w:val="9"/>
    <w:pPr>
      <w:numPr>
        <w:ilvl w:val="0"/>
        <w:numId w:val="1"/>
      </w:numPr>
      <w:jc w:val="left"/>
      <w:outlineLvl w:val="0"/>
    </w:pPr>
    <w:rPr>
      <w:rFonts w:ascii="楷体_GB2312" w:cs="楷体_GB2312" w:eastAsia="楷体_GB2312" w:hAnsi="楷体_GB2312"/>
      <w:b/>
      <w:color w:val="000000"/>
      <w:sz w:val="32"/>
      <w:szCs w:val="32"/>
    </w:rPr>
  </w:style>
  <w:style w:type="paragraph" w:styleId="style2">
    <w:name w:val="heading 2"/>
    <w:basedOn w:val="style0"/>
    <w:next w:val="style0"/>
    <w:qFormat/>
    <w:uiPriority w:val="0"/>
    <w:pPr>
      <w:keepNext/>
      <w:keepLines/>
      <w:numPr>
        <w:ilvl w:val="1"/>
        <w:numId w:val="2"/>
      </w:numPr>
      <w:tabs>
        <w:tab w:val="clear" w:pos="567"/>
      </w:tabs>
      <w:spacing w:before="260" w:after="260" w:lineRule="auto" w:line="416"/>
      <w:ind w:left="0" w:firstLine="0"/>
      <w:outlineLvl w:val="1"/>
    </w:pPr>
    <w:rPr>
      <w:rFonts w:ascii="微软雅黑" w:cs="Arial" w:eastAsia="微软雅黑" w:hAnsi="微软雅黑"/>
      <w:b/>
      <w:bCs/>
      <w:sz w:val="28"/>
      <w:szCs w:val="32"/>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34"/>
    <w:pPr>
      <w:ind w:firstLine="420" w:firstLineChars="200"/>
    </w:pPr>
    <w:rPr/>
  </w:style>
  <w:style w:type="paragraph" w:customStyle="1" w:styleId="style4099">
    <w:name w:val="Table Paragraph"/>
    <w:basedOn w:val="style0"/>
    <w:next w:val="style4099"/>
    <w:qFormat/>
    <w:uiPriority w:val="1"/>
    <w:pPr/>
  </w:style>
  <w:style w:type="character" w:customStyle="1" w:styleId="style4100">
    <w:name w:val="标题 1 字符"/>
    <w:basedOn w:val="style65"/>
    <w:next w:val="style4100"/>
    <w:link w:val="style1"/>
    <w:uiPriority w:val="9"/>
    <w:rPr>
      <w:rFonts w:ascii="楷体_GB2312" w:cs="楷体_GB2312" w:eastAsia="楷体_GB2312" w:hAnsi="楷体_GB2312"/>
      <w:b/>
      <w:color w:val="000000"/>
      <w:kern w:val="2"/>
      <w:sz w:val="32"/>
      <w:szCs w:val="3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1062</Words>
  <Pages>42</Pages>
  <Characters>1119</Characters>
  <Application>WPS Office</Application>
  <DocSecurity>0</DocSecurity>
  <Paragraphs>167</Paragraphs>
  <ScaleCrop>false</ScaleCrop>
  <Company>Microsoft</Company>
  <LinksUpToDate>false</LinksUpToDate>
  <CharactersWithSpaces>1124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2022-05-13T11:17:00Z</dcterms:created>
  <dc:creator>123</dc:creator>
  <lastModifiedBy>ELS-AN00</lastModifiedBy>
  <lastPrinted>2021-10-08T06:03:00Z</lastPrinted>
  <dcterms:modified xsi:type="dcterms:W3CDTF">2022-05-16T06:38:36Z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ab84e650dd1143a1b7aa0156ed199ee8</vt:lpwstr>
  </property>
  <property fmtid="{D5CDD505-2E9C-101B-9397-08002B2CF9AE}" pid="4" name="KSOSaveFontToCloudKey">
    <vt:lpwstr>417397156_btnclosed</vt:lpwstr>
  </property>
</Properties>
</file>