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微软雅黑" w:hAnsi="微软雅黑" w:eastAsia="微软雅黑"/>
          <w:sz w:val="44"/>
        </w:rPr>
      </w:pPr>
      <w:r>
        <w:rPr>
          <w:rFonts w:hint="eastAsia" w:ascii="微软雅黑" w:hAnsi="微软雅黑" w:eastAsia="微软雅黑"/>
          <w:sz w:val="44"/>
        </w:rPr>
        <w:t>实训室配置清单</w:t>
      </w:r>
    </w:p>
    <w:p>
      <w:pPr>
        <w:spacing w:line="240" w:lineRule="auto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一、实训硬件平台设备</w:t>
      </w:r>
    </w:p>
    <w:tbl>
      <w:tblPr>
        <w:tblStyle w:val="8"/>
        <w:tblW w:w="892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520"/>
        <w:gridCol w:w="8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配置参数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机架式服务器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CPU：2*12core*2.2 GHz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内存：128 GB DDR4 RAM(GB)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系统盘：2*480G SSD固态硬盘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数据盘：4*960G SSD固态硬盘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网卡：2*10GE网卡（含光模块）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注：以上为关键配件，其他配件供应商自行配置，确保设备可满足教学使用要求。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万兆以太网交换机</w:t>
            </w:r>
          </w:p>
        </w:tc>
        <w:tc>
          <w:tcPr>
            <w:tcW w:w="6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1、支持48个万兆SFP+端口，6个40G QSFP+端口，支持可插拔的双电源（配置万兆光模块，连接服务器和交换机）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、包转发率：2000 Mpps，交换容量4.8Tbps/76.8Tbps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路由器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1*GE WAN,1*GE combo WAN,1*10GE SFP+,8*GE LAN,2*USB,2*SIC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千兆以太网交换机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24个10/100/1000BASE-T以太网端口,4个万兆SFP+,单子卡槽位,1个600W交流电源模块(后前风道,电源面板侧出风)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千兆以太网交换机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24个10/100/1000BASE-T以太网端口,4个万兆SFP+,单子卡槽位,PoE+,1000W交流&amp;240V直流电源模块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防火墙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10*GE RJ45+2*GE SFP,含SSL VPN 100用户，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Micro SD 64GB(SDXC Class 10,MLC NAND Flash)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4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2U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机柜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600*600*2000网络机柜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无线A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P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无线AP，POE供电模块；适配器--5degC-45degC-90V-270V-12V/2A-中式插头/DC头-02220294增加独立包材拆分编码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机架式服务器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CPU：2*32core*2.6 GHz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内存：256 GB DDR4 RAM(GB) 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系统盘：2*480G SSD固态硬盘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数据盘：4*960G SSD固态硬盘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网卡：2*10GE网卡（含光模块）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注：以上为关键配件，其他配件供应商自行配置，确保设备可满足教学使用要求。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物联网开发板</w:t>
            </w:r>
          </w:p>
        </w:tc>
        <w:tc>
          <w:tcPr>
            <w:tcW w:w="6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(1)：BearPi-IoT主板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(2)：WIFI通信板+ NB-IoT通信板+ GPRS通信板+ HiLink通信板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3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)：E53_SC1（智慧路灯案例板）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4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)：E53_SF1（智慧烟感案例板）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)：E53_IA1（智慧农业案例板）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6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)：E53_ST1（智慧物流案例板）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(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7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)：其它（USB数据线、杜邦线）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</w:p>
        </w:tc>
      </w:tr>
    </w:tbl>
    <w:p>
      <w:pPr>
        <w:spacing w:line="240" w:lineRule="auto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二、实训课程和服务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953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实训室方向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配置参数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云计算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1、包含云计算方向的5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个授权实训环境以及MOOC视频、实训环境、项目案例库、就业库、人才画像等平台资源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、包含云计算专业基础课、专业核心课、专业选修课等课程资源，包含考试认证相关的视频、课件、作业等资源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3、平台软件部署，运维、订阅、升级与保障服务3年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网络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1、包含网络方向的5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个授权实训环境以及MOOC视频、实训环境、项目案例库、就业库、人才画像等平台资源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、包含网络专业基础课、专业核心课、专业选修课等课程资源，包含考试认证相关的视频、课件、作业等资源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3、平台软件部署，运维、订阅、升级与保障服务3年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before="312"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大数据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1、包含大数据方向的5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个授权实训环境以及MOOC视频、实训环境、项目案例库、就业库、人才画像等平台资源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、包含大数据专业基础课、专业核心课、专业选修课等课程资源，包含考试认证相关的视频、课件、作业等资源；包含鲲鹏生态应用开发、鲲鹏应用实战、鲲鹏运维服务、鲲鹏应用移植等课程资源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3、平台软件部署，运维、订阅、升级与保障服务3年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before="312"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物联网</w:t>
            </w:r>
          </w:p>
        </w:tc>
        <w:tc>
          <w:tcPr>
            <w:tcW w:w="595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1、包含物联网方向的5</w:t>
            </w: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5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个授权实训环境以及MOOC视频、实训环境、项目案例库、就业库、人才画像等平台资源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、包含物联网专业基础课、专业核心课、专业选修课等课程资源，包含考试认证相关的视频、课件、作业等资源；包含HMS生态与应用开发、HarmonyOS应用开发等课程资源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3、平台软件部署，运维、订阅、升级与保障服务3年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before="312" w:line="240" w:lineRule="auto"/>
              <w:jc w:val="center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widowControl/>
        <w:autoSpaceDE/>
        <w:autoSpaceDN/>
        <w:adjustRightInd/>
        <w:spacing w:line="240" w:lineRule="auto"/>
        <w:rPr>
          <w:rFonts w:hint="eastAsia" w:ascii="宋体" w:hAnsi="宋体" w:cs="宋体"/>
          <w:snapToGrid/>
          <w:color w:val="000000"/>
          <w:sz w:val="24"/>
          <w:szCs w:val="24"/>
        </w:rPr>
      </w:pPr>
      <w:bookmarkStart w:id="0" w:name="_GoBack"/>
      <w:bookmarkEnd w:id="0"/>
    </w:p>
    <w:p>
      <w:pPr>
        <w:spacing w:line="240" w:lineRule="auto"/>
        <w:rPr>
          <w:rFonts w:ascii="微软雅黑" w:hAnsi="微软雅黑" w:eastAsia="微软雅黑"/>
          <w:sz w:val="32"/>
        </w:rPr>
      </w:pPr>
      <w:r>
        <w:rPr>
          <w:rFonts w:hint="eastAsia" w:ascii="微软雅黑" w:hAnsi="微软雅黑" w:eastAsia="微软雅黑"/>
          <w:sz w:val="32"/>
        </w:rPr>
        <w:t>三、实训教学环境设备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6095"/>
        <w:gridCol w:w="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设备名称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配置参数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rFonts w:ascii="宋体" w:hAnsi="宋体" w:cs="宋体"/>
                <w:b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napToGrid/>
                <w:color w:val="000000"/>
                <w:sz w:val="24"/>
                <w:szCs w:val="24"/>
              </w:rPr>
              <w:t>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学生实验桌椅</w:t>
            </w:r>
          </w:p>
        </w:tc>
        <w:tc>
          <w:tcPr>
            <w:tcW w:w="6095" w:type="dxa"/>
            <w:vAlign w:val="center"/>
          </w:tcPr>
          <w:p>
            <w:pP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面和脚采用25mm厚三聚氰胺板饰面，优质PVC全自动机器封边，其它均采用15mm厚三聚氰胺板，优质PVC全自动机器封边，优质五金配件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学生椅：学生椅子圆椅，加厚钢制脚</w:t>
            </w:r>
          </w:p>
        </w:tc>
        <w:tc>
          <w:tcPr>
            <w:tcW w:w="788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jc w:val="center"/>
              <w:rPr>
                <w:snapToGrid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教师桌椅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尺寸（单人位）：1500mm×841.5mm×750mm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材质：办公桌橡木色，材质选用三胺饰面板，预留线槽、线孔，预留主机位，带主机托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教师椅：可升降办公椅，采用网布+定型海绵面料，钢制五星脚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教师工作站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CPU 12代 Intel i7 12700 处理器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主板 Intel B660芯片组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 16GB DDR4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主板 Intel B660芯片组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 16GB DDR4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硬盘 512GB SSD M.2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显卡 集成显卡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网卡 10/100/1000M以太网卡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扩展槽 2个M.2 NVME固态硬盘插槽（含已占用）、1个PCIE*16、1个PCIE*1、支持IEEE 802.11a/b/g/n/ac/ax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USB接口 10个USB接口（含Type-C）、前置1个Type-C支持数据传输和对外充电，HDMI1.4接口*2、DP1.4接口*2，支持双频显示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300W电源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Windows正版操作系统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机箱 ≥16L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显示器23.8英寸，分辨率1920*1080，具备低蓝光无频闪护眼功能（提供第三方机构测试报告）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配件： 同品牌抗菌键盘、抗菌鼠标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售后：原厂3年上门服务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学生工作站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CPU 12代 Intel i7 12700 处理器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主板 Intel B660芯片组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 16GB DDR4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主板 Intel B660芯片组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内存 16GB DDR4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 xml:space="preserve">硬盘 512GB SSD M.2 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显卡 集成显卡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网卡 10/100/1000M以太网卡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扩展槽 2个M.2 NVME固态硬盘插槽（含已占用）、1个PCIE*16、1个PCIE*1、支持IEEE 802.11a/b/g/n/ac/ax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USB接口 10个USB接口（含Type-C）、前置1个Type-C支持数据传输和对外充电，HDMI1.4接口*2、DP1.4接口*2，支持双频显示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300W电源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Windows正版操作系统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机箱 ≥16L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显示器23.8英寸，分辨率1920*1080，具备低蓝光无频闪护眼功能（提供第三方机构测试报告）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配件：同品牌抗菌键盘、抗菌鼠标</w:t>
            </w:r>
          </w:p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售后：原厂3年上门服务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千兆以太网交换机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48个10/100/1000BASE-T以太网端口,4个万兆SFP+,单子卡槽位,600W电源*1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交互式智能多媒体教学触控一体机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屏幕尺寸：86寸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可视角度：178°(H)/178°(V)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最大分辨率：3840×2160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显示亮度≥330cd/㎡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对比度≥960：1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操作系统：Android或Windows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CPU≥2 core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GPU≥4 core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RAM≥2G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ROM≥16G</w:t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接口：HDMI、VGA、PC AUDIO IN、USB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3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实训室综合布线</w:t>
            </w:r>
          </w:p>
        </w:tc>
        <w:tc>
          <w:tcPr>
            <w:tcW w:w="6095" w:type="dxa"/>
            <w:vAlign w:val="center"/>
          </w:tcPr>
          <w:p>
            <w:pPr>
              <w:widowControl/>
              <w:autoSpaceDE/>
              <w:autoSpaceDN/>
              <w:adjustRightInd/>
              <w:spacing w:line="240" w:lineRule="auto"/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snapToGrid/>
                <w:color w:val="000000"/>
                <w:sz w:val="24"/>
                <w:szCs w:val="24"/>
              </w:rPr>
              <w:t>实训室基础环境建设，包括强弱电路排放、开槽、穿管等服务，网线采用安普原装六类网线，网络面板根据现场情况采用安普单双口模块面板。（需根据学校教室的具体实际环境而定）</w:t>
            </w:r>
          </w:p>
        </w:tc>
        <w:tc>
          <w:tcPr>
            <w:tcW w:w="788" w:type="dxa"/>
            <w:vAlign w:val="center"/>
          </w:tcPr>
          <w:p>
            <w:pPr>
              <w:jc w:val="center"/>
              <w:rPr>
                <w:rFonts w:hint="eastAsia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</w:t>
            </w:r>
          </w:p>
        </w:tc>
      </w:tr>
    </w:tbl>
    <w:p>
      <w:pPr>
        <w:spacing w:line="240" w:lineRule="auto"/>
        <w:rPr>
          <w:rFonts w:hint="eastAsia" w:ascii="微软雅黑" w:hAnsi="微软雅黑" w:eastAsia="微软雅黑"/>
          <w:sz w:val="32"/>
        </w:rPr>
      </w:pPr>
    </w:p>
    <w:sectPr>
      <w:headerReference r:id="rId6" w:type="first"/>
      <w:footerReference r:id="rId8" w:type="first"/>
      <w:headerReference r:id="rId5" w:type="even"/>
      <w:footerReference r:id="rId7" w:type="even"/>
      <w:pgSz w:w="11906" w:h="16838"/>
      <w:pgMar w:top="1312" w:right="1800" w:bottom="1440" w:left="1800" w:header="779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FE570A"/>
    <w:multiLevelType w:val="multilevel"/>
    <w:tmpl w:val="42FE570A"/>
    <w:lvl w:ilvl="0" w:tentative="0">
      <w:start w:val="1"/>
      <w:numFmt w:val="decimal"/>
      <w:suff w:val="nothing"/>
      <w:lvlText w:val="%1  "/>
      <w:lvlJc w:val="left"/>
      <w:pPr>
        <w:ind w:left="0" w:firstLine="0"/>
      </w:pPr>
      <w:rPr>
        <w:rFonts w:hint="default" w:ascii="Arial" w:hAnsi="Arial" w:eastAsia="黑体"/>
        <w:b w:val="0"/>
        <w:i w:val="0"/>
        <w:sz w:val="36"/>
        <w:szCs w:val="36"/>
      </w:rPr>
    </w:lvl>
    <w:lvl w:ilvl="1" w:tentative="0">
      <w:start w:val="1"/>
      <w:numFmt w:val="decimal"/>
      <w:suff w:val="nothing"/>
      <w:lvlText w:val="%1.%2  "/>
      <w:lvlJc w:val="left"/>
      <w:pPr>
        <w:ind w:left="0" w:firstLine="0"/>
      </w:pPr>
      <w:rPr>
        <w:rFonts w:hint="default" w:ascii="Arial" w:hAnsi="Arial"/>
        <w:b w:val="0"/>
        <w:i w:val="0"/>
        <w:sz w:val="30"/>
        <w:szCs w:val="30"/>
      </w:rPr>
    </w:lvl>
    <w:lvl w:ilvl="2" w:tentative="0">
      <w:start w:val="1"/>
      <w:numFmt w:val="decimal"/>
      <w:suff w:val="nothing"/>
      <w:lvlText w:val="%1.%2.%3  "/>
      <w:lvlJc w:val="left"/>
      <w:pPr>
        <w:ind w:left="0" w:firstLine="0"/>
      </w:pPr>
      <w:rPr>
        <w:rFonts w:hint="default" w:ascii="Arial" w:hAnsi="Arial"/>
        <w:b w:val="0"/>
        <w:i w:val="0"/>
        <w:sz w:val="24"/>
        <w:szCs w:val="24"/>
      </w:rPr>
    </w:lvl>
    <w:lvl w:ilvl="3" w:tentative="0">
      <w:start w:val="1"/>
      <w:numFmt w:val="decimal"/>
      <w:suff w:val="nothing"/>
      <w:lvlText w:val="%1.%2.%3.%4  "/>
      <w:lvlJc w:val="left"/>
      <w:pPr>
        <w:ind w:left="0" w:firstLine="0"/>
      </w:pPr>
      <w:rPr>
        <w:rFonts w:hint="default" w:ascii="Arial" w:hAnsi="Arial"/>
        <w:b w:val="0"/>
        <w:i w:val="0"/>
        <w:sz w:val="21"/>
        <w:szCs w:val="21"/>
      </w:rPr>
    </w:lvl>
    <w:lvl w:ilvl="4" w:tentative="0">
      <w:start w:val="1"/>
      <w:numFmt w:val="decimal"/>
      <w:lvlText w:val="%5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5" w:tentative="0">
      <w:start w:val="1"/>
      <w:numFmt w:val="decimal"/>
      <w:lvlText w:val="%6)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6" w:tentative="0">
      <w:start w:val="1"/>
      <w:numFmt w:val="lowerLetter"/>
      <w:lvlText w:val="%7."/>
      <w:lvlJc w:val="left"/>
      <w:pPr>
        <w:tabs>
          <w:tab w:val="left" w:pos="1134"/>
        </w:tabs>
        <w:ind w:left="1134" w:hanging="312"/>
      </w:pPr>
      <w:rPr>
        <w:rFonts w:hint="default" w:ascii="Arial" w:hAnsi="Arial"/>
        <w:b w:val="0"/>
        <w:i w:val="0"/>
        <w:sz w:val="21"/>
        <w:szCs w:val="21"/>
      </w:rPr>
    </w:lvl>
    <w:lvl w:ilvl="7" w:tentative="0">
      <w:start w:val="1"/>
      <w:numFmt w:val="decimal"/>
      <w:lvlRestart w:val="0"/>
      <w:pStyle w:val="15"/>
      <w:suff w:val="space"/>
      <w:lvlText w:val="图%8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  <w:lvl w:ilvl="8" w:tentative="0">
      <w:start w:val="1"/>
      <w:numFmt w:val="decimal"/>
      <w:lvlRestart w:val="0"/>
      <w:pStyle w:val="11"/>
      <w:suff w:val="space"/>
      <w:lvlText w:val="表%9"/>
      <w:lvlJc w:val="center"/>
      <w:pPr>
        <w:ind w:left="0" w:firstLine="0"/>
      </w:pPr>
      <w:rPr>
        <w:rFonts w:hint="default" w:ascii="Arial" w:hAnsi="Arial" w:eastAsia="黑体"/>
        <w:b w:val="0"/>
        <w:i w:val="0"/>
        <w:sz w:val="18"/>
        <w:szCs w:val="18"/>
      </w:rPr>
    </w:lvl>
  </w:abstractNum>
  <w:abstractNum w:abstractNumId="1">
    <w:nsid w:val="63546429"/>
    <w:multiLevelType w:val="multilevel"/>
    <w:tmpl w:val="63546429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4" w:tentative="0">
      <w:start w:val="1"/>
      <w:numFmt w:val="decimal"/>
      <w:lvlText w:val="%5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5" w:tentative="0">
      <w:start w:val="1"/>
      <w:numFmt w:val="lowerLetter"/>
      <w:lvlText w:val="%6）"/>
      <w:lvlJc w:val="left"/>
      <w:pPr>
        <w:tabs>
          <w:tab w:val="left" w:pos="567"/>
        </w:tabs>
        <w:ind w:left="936" w:hanging="680"/>
      </w:pPr>
      <w:rPr>
        <w:rFonts w:hint="eastAsia"/>
      </w:rPr>
    </w:lvl>
    <w:lvl w:ilvl="6" w:tentative="0">
      <w:start w:val="1"/>
      <w:numFmt w:val="lowerRoman"/>
      <w:lvlText w:val="%7"/>
      <w:lvlJc w:val="left"/>
      <w:pPr>
        <w:tabs>
          <w:tab w:val="left" w:pos="567"/>
        </w:tabs>
        <w:ind w:left="936" w:hanging="68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hNTg1NTVlMjdmNWM1MThkODNlZDg2MjQzMzZhMTQifQ=="/>
  </w:docVars>
  <w:rsids>
    <w:rsidRoot w:val="007162BA"/>
    <w:rsid w:val="00035469"/>
    <w:rsid w:val="0012175A"/>
    <w:rsid w:val="00152B8F"/>
    <w:rsid w:val="001D766B"/>
    <w:rsid w:val="00241BD5"/>
    <w:rsid w:val="0028646B"/>
    <w:rsid w:val="002E0811"/>
    <w:rsid w:val="003055E4"/>
    <w:rsid w:val="00307760"/>
    <w:rsid w:val="00322719"/>
    <w:rsid w:val="00425F62"/>
    <w:rsid w:val="0052233A"/>
    <w:rsid w:val="00634265"/>
    <w:rsid w:val="007162BA"/>
    <w:rsid w:val="0075012D"/>
    <w:rsid w:val="00775BB5"/>
    <w:rsid w:val="00780144"/>
    <w:rsid w:val="009A4AC8"/>
    <w:rsid w:val="00B86768"/>
    <w:rsid w:val="00C53AFA"/>
    <w:rsid w:val="00D16C4C"/>
    <w:rsid w:val="00D87114"/>
    <w:rsid w:val="00E46C4C"/>
    <w:rsid w:val="00EE2438"/>
    <w:rsid w:val="00EE58DB"/>
    <w:rsid w:val="00FD52B5"/>
    <w:rsid w:val="00FF77C6"/>
    <w:rsid w:val="5F08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eastAsia="宋体" w:cs="Times New Roman"/>
      <w:snapToGrid w:val="0"/>
      <w:sz w:val="21"/>
      <w:szCs w:val="21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spacing w:before="240" w:after="240"/>
      <w:jc w:val="both"/>
      <w:outlineLvl w:val="0"/>
    </w:pPr>
    <w:rPr>
      <w:rFonts w:ascii="Arial" w:hAnsi="Arial" w:eastAsia="黑体" w:cs="Times New Roman"/>
      <w:b/>
      <w:sz w:val="32"/>
      <w:szCs w:val="32"/>
      <w:lang w:val="en-US" w:eastAsia="zh-CN" w:bidi="ar-SA"/>
    </w:rPr>
  </w:style>
  <w:style w:type="paragraph" w:styleId="3">
    <w:name w:val="heading 2"/>
    <w:next w:val="1"/>
    <w:qFormat/>
    <w:uiPriority w:val="0"/>
    <w:pPr>
      <w:keepNext/>
      <w:numPr>
        <w:ilvl w:val="1"/>
        <w:numId w:val="1"/>
      </w:numPr>
      <w:spacing w:before="240" w:after="240"/>
      <w:jc w:val="both"/>
      <w:outlineLvl w:val="1"/>
    </w:pPr>
    <w:rPr>
      <w:rFonts w:ascii="Arial" w:hAnsi="Arial" w:eastAsia="黑体" w:cs="Times New Roman"/>
      <w:sz w:val="24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numPr>
        <w:ilvl w:val="2"/>
        <w:numId w:val="1"/>
      </w:numPr>
      <w:autoSpaceDE/>
      <w:autoSpaceDN/>
      <w:adjustRightInd/>
      <w:spacing w:before="260" w:after="260" w:line="416" w:lineRule="auto"/>
      <w:jc w:val="both"/>
      <w:outlineLvl w:val="2"/>
    </w:pPr>
    <w:rPr>
      <w:rFonts w:eastAsia="黑体"/>
      <w:bCs/>
      <w:kern w:val="2"/>
      <w:sz w:val="24"/>
      <w:szCs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24"/>
    <w:qFormat/>
    <w:uiPriority w:val="0"/>
    <w:pPr>
      <w:spacing w:line="240" w:lineRule="auto"/>
    </w:pPr>
    <w:rPr>
      <w:sz w:val="18"/>
      <w:szCs w:val="18"/>
    </w:rPr>
  </w:style>
  <w:style w:type="paragraph" w:styleId="6">
    <w:name w:val="footer"/>
    <w:qFormat/>
    <w:uiPriority w:val="0"/>
    <w:pPr>
      <w:tabs>
        <w:tab w:val="center" w:pos="4510"/>
        <w:tab w:val="right" w:pos="9020"/>
      </w:tabs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styleId="7">
    <w:name w:val="header"/>
    <w:qFormat/>
    <w:uiPriority w:val="0"/>
    <w:pPr>
      <w:tabs>
        <w:tab w:val="center" w:pos="4153"/>
        <w:tab w:val="right" w:pos="8306"/>
      </w:tabs>
      <w:snapToGrid w:val="0"/>
      <w:jc w:val="both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table" w:styleId="9">
    <w:name w:val="Table Grid"/>
    <w:basedOn w:val="8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题注"/>
    <w:next w:val="1"/>
    <w:qFormat/>
    <w:uiPriority w:val="0"/>
    <w:pPr>
      <w:keepLines/>
      <w:numPr>
        <w:ilvl w:val="8"/>
        <w:numId w:val="2"/>
      </w:numPr>
      <w:spacing w:before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2">
    <w:name w:val="表格文本"/>
    <w:qFormat/>
    <w:uiPriority w:val="0"/>
    <w:pPr>
      <w:tabs>
        <w:tab w:val="decimal" w:pos="0"/>
      </w:tabs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3">
    <w:name w:val="表头文本"/>
    <w:uiPriority w:val="0"/>
    <w:pPr>
      <w:jc w:val="center"/>
    </w:pPr>
    <w:rPr>
      <w:rFonts w:ascii="Arial" w:hAnsi="Arial" w:eastAsia="宋体" w:cs="Times New Roman"/>
      <w:b/>
      <w:sz w:val="21"/>
      <w:szCs w:val="21"/>
      <w:lang w:val="en-US" w:eastAsia="zh-CN" w:bidi="ar-SA"/>
    </w:rPr>
  </w:style>
  <w:style w:type="table" w:customStyle="1" w:styleId="14">
    <w:name w:val="表样式"/>
    <w:basedOn w:val="8"/>
    <w:qFormat/>
    <w:uiPriority w:val="0"/>
    <w:pPr>
      <w:jc w:val="both"/>
    </w:pPr>
    <w:rPr>
      <w:sz w:val="18"/>
      <w:szCs w:val="1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shd w:val="clear" w:color="auto" w:fill="auto"/>
      <w:vAlign w:val="center"/>
    </w:tcPr>
  </w:style>
  <w:style w:type="paragraph" w:customStyle="1" w:styleId="15">
    <w:name w:val="插图题注"/>
    <w:next w:val="1"/>
    <w:uiPriority w:val="0"/>
    <w:pPr>
      <w:numPr>
        <w:ilvl w:val="7"/>
        <w:numId w:val="2"/>
      </w:numPr>
      <w:spacing w:afterLines="100"/>
      <w:ind w:left="1089" w:hanging="369"/>
      <w:jc w:val="center"/>
    </w:pPr>
    <w:rPr>
      <w:rFonts w:ascii="Arial" w:hAnsi="Arial" w:eastAsia="宋体" w:cs="Times New Roman"/>
      <w:sz w:val="18"/>
      <w:szCs w:val="18"/>
      <w:lang w:val="en-US" w:eastAsia="zh-CN" w:bidi="ar-SA"/>
    </w:rPr>
  </w:style>
  <w:style w:type="paragraph" w:customStyle="1" w:styleId="16">
    <w:name w:val="图样式"/>
    <w:basedOn w:val="1"/>
    <w:uiPriority w:val="0"/>
    <w:pPr>
      <w:keepNext/>
      <w:widowControl/>
      <w:spacing w:before="80" w:after="80"/>
      <w:jc w:val="center"/>
    </w:pPr>
  </w:style>
  <w:style w:type="paragraph" w:customStyle="1" w:styleId="17">
    <w:name w:val="文档标题"/>
    <w:basedOn w:val="1"/>
    <w:qFormat/>
    <w:uiPriority w:val="0"/>
    <w:pPr>
      <w:tabs>
        <w:tab w:val="left" w:pos="0"/>
      </w:tabs>
      <w:spacing w:before="300" w:after="300"/>
      <w:jc w:val="center"/>
    </w:pPr>
    <w:rPr>
      <w:rFonts w:ascii="Arial" w:hAnsi="Arial" w:eastAsia="黑体"/>
      <w:sz w:val="36"/>
      <w:szCs w:val="36"/>
    </w:rPr>
  </w:style>
  <w:style w:type="paragraph" w:customStyle="1" w:styleId="18">
    <w:name w:val="正文（首行不缩进）"/>
    <w:basedOn w:val="1"/>
    <w:qFormat/>
    <w:uiPriority w:val="0"/>
  </w:style>
  <w:style w:type="paragraph" w:customStyle="1" w:styleId="19">
    <w:name w:val="注示头"/>
    <w:basedOn w:val="1"/>
    <w:uiPriority w:val="0"/>
    <w:pPr>
      <w:pBdr>
        <w:top w:val="single" w:color="000000" w:sz="4" w:space="1"/>
      </w:pBdr>
      <w:jc w:val="both"/>
    </w:pPr>
    <w:rPr>
      <w:rFonts w:ascii="Arial" w:hAnsi="Arial" w:eastAsia="黑体"/>
      <w:sz w:val="18"/>
    </w:rPr>
  </w:style>
  <w:style w:type="paragraph" w:customStyle="1" w:styleId="20">
    <w:name w:val="注示文本"/>
    <w:basedOn w:val="1"/>
    <w:qFormat/>
    <w:uiPriority w:val="0"/>
    <w:pPr>
      <w:pBdr>
        <w:bottom w:val="single" w:color="000000" w:sz="4" w:space="1"/>
      </w:pBdr>
      <w:ind w:firstLine="360"/>
      <w:jc w:val="both"/>
    </w:pPr>
    <w:rPr>
      <w:rFonts w:ascii="Arial" w:hAnsi="Arial" w:eastAsia="楷体_GB2312"/>
      <w:sz w:val="18"/>
      <w:szCs w:val="18"/>
    </w:rPr>
  </w:style>
  <w:style w:type="paragraph" w:customStyle="1" w:styleId="21">
    <w:name w:val="编写建议"/>
    <w:basedOn w:val="1"/>
    <w:qFormat/>
    <w:uiPriority w:val="0"/>
    <w:pPr>
      <w:ind w:firstLine="420"/>
    </w:pPr>
    <w:rPr>
      <w:rFonts w:ascii="Arial" w:hAnsi="Arial" w:cs="Arial"/>
      <w:i/>
      <w:color w:val="0000FF"/>
    </w:rPr>
  </w:style>
  <w:style w:type="character" w:customStyle="1" w:styleId="22">
    <w:name w:val="样式一"/>
    <w:basedOn w:val="10"/>
    <w:qFormat/>
    <w:uiPriority w:val="0"/>
    <w:rPr>
      <w:rFonts w:ascii="宋体" w:hAnsi="宋体"/>
      <w:b/>
      <w:bCs/>
      <w:color w:val="000000"/>
      <w:sz w:val="36"/>
    </w:rPr>
  </w:style>
  <w:style w:type="character" w:customStyle="1" w:styleId="23">
    <w:name w:val="样式二"/>
    <w:basedOn w:val="22"/>
    <w:qFormat/>
    <w:uiPriority w:val="0"/>
    <w:rPr>
      <w:rFonts w:ascii="宋体" w:hAnsi="宋体"/>
      <w:color w:val="000000"/>
      <w:sz w:val="36"/>
    </w:rPr>
  </w:style>
  <w:style w:type="character" w:customStyle="1" w:styleId="24">
    <w:name w:val="批注框文本 字符"/>
    <w:basedOn w:val="10"/>
    <w:link w:val="5"/>
    <w:qFormat/>
    <w:uiPriority w:val="0"/>
    <w:rPr>
      <w:snapToGrid w:val="0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wx690449\Desktop\OFFICE\Templet\office\office\Office%20&#27169;&#26495;&#65288;&#20013;&#25991;&#65289;\DOC\Word%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A328-1367-41D8-B456-1AADC1E232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模板.dotx</Template>
  <Company>Huawei Technologies Co.,Ltd.</Company>
  <Pages>4</Pages>
  <Words>1920</Words>
  <Characters>2760</Characters>
  <Lines>21</Lines>
  <Paragraphs>6</Paragraphs>
  <TotalTime>46</TotalTime>
  <ScaleCrop>false</ScaleCrop>
  <LinksUpToDate>false</LinksUpToDate>
  <CharactersWithSpaces>2851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2019-07-19T03:06:00Z</dcterms:created>
  <dc:creator>wudefu</dc:creator>
  <cp:lastModifiedBy>馨</cp:lastModifiedBy>
  <dcterms:modified xsi:type="dcterms:W3CDTF">2022-11-22T04:49:28Z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(4)hGQ1PSCXEkVfcwFQsoRSLtxtuzYtzBVjCK06H8HLhZoLuRhj4leYecNqTcOz6een0ft1egsg
t001mFnCvLMaA7NtV7uI2VC2fwALyxkAC4/wcWz8V8s9ISVz/CfAoSvyQ6nyxiczypx3WN6k
iUnWGkbT1bSwB2DSRd3f7wzNpVKyHhElmeFgXpfDEloNrXj6fpuVTbsm6RDJMi1f464iyj1z
614PzAImBcWE/WjDWN/y5</vt:lpwstr>
  </property>
  <property fmtid="{D5CDD505-2E9C-101B-9397-08002B2CF9AE}" pid="3" name="_ms_pID_7253431">
    <vt:lpwstr>TFYekd/MoOcdAUKhpiH6kdybFPk4me52k75asY0n+2Om+X60aHu
K7gzsUkkPd9EvzrGt8Nhbs+5OzH324OV3/Zv0Wk1s77ymyBS/g1FukTABfllXSMe4+HG/L89
tp8NHHTwaIzm28DBBkVmVmdL09ekEMV+QrS/Rie/ICaA+cc5fNaNjUKJZ6+1wXS2SQEOKjC6
b8HqMKW55JFIbIK2N1piaa3K9ae25MbT1AEQED9QlN</vt:lpwstr>
  </property>
  <property fmtid="{D5CDD505-2E9C-101B-9397-08002B2CF9AE}" pid="4" name="_ms_pID_7253432">
    <vt:lpwstr>E7FqxOADAUq80etHyPBA3ELTZhFDR2
wVj3LzUVhy7LOuwI9uxMSkbk8k5daWHKRVM2jPOoZ88TOOJpho94OU041q2lK6RN9bR9XAb5
mvsbzvyK7y9aTwrRm9Y9jeP/2MGeGsd46jyP7DuLztgB1VmvC8i6MYko5SiXTLeJvJ8l6Chj
pwgTqVKI/iPWcTv5Z3EUyitJA9voTAle06Fnasq695DEfPit2GNQApOppq1hRmF</vt:lpwstr>
  </property>
  <property fmtid="{D5CDD505-2E9C-101B-9397-08002B2CF9AE}" pid="5" name="_ms_pID_7253433">
    <vt:lpwstr>XOJNPY2kx
4xqimhk3tS32I2ubWObO207x2MvGmI15qfOjJqw4zxHSDgtN</vt:lpwstr>
  </property>
  <property fmtid="{D5CDD505-2E9C-101B-9397-08002B2CF9AE}" pid="6" name="_2015_ms_pID_725343">
    <vt:lpwstr>(3)TYdIYfmXT9P3TmoXVuTyuN8X+mugue0+XvEW+DHDwHSMvhSPo1nDX8z4oZfVun5yWyQciKHt
u67e5BfVLYSBOazicqxHb1HyxjcL6oSr6PU9jKDEPgOaLwAGmAz7Ay5wmMVXh9q8iJYO8h3+
TwYyws+a0/bEXd06JZvYamPCyyoE7ea9juZZTGLcgfBKimsH/Yf76WqKwsOUCvd6qU+f1B2S
d6YtFi/dHekLZiTUmZ</vt:lpwstr>
  </property>
  <property fmtid="{D5CDD505-2E9C-101B-9397-08002B2CF9AE}" pid="7" name="_2015_ms_pID_7253431">
    <vt:lpwstr>CEogaIcGkVtoh6ibtWCVBk4vnhwajL61G9iQc7zLxemKPOdS2JWTd8
jKa6L+s/f3jvWE1G5/qD3cnHWH21e7R4dQwxxcigTe5OOdPNCb/FC/zUA/bsWuPHzz0WpuRM
RoMC7jhTWuX+uHfgCAmNC8H24PEDku5J/Pedl7E0t4+MQE4Nt/2595GGB0yM39/kQ/5HXE38
5pt09ZzUWqlbC9qidPLcuB+mvKxdGZSD1QBR</vt:lpwstr>
  </property>
  <property fmtid="{D5CDD505-2E9C-101B-9397-08002B2CF9AE}" pid="8" name="_2015_ms_pID_7253432">
    <vt:lpwstr>vg==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1540624028</vt:lpwstr>
  </property>
  <property fmtid="{D5CDD505-2E9C-101B-9397-08002B2CF9AE}" pid="13" name="KSOProductBuildVer">
    <vt:lpwstr>2052-11.1.0.12598</vt:lpwstr>
  </property>
  <property fmtid="{D5CDD505-2E9C-101B-9397-08002B2CF9AE}" pid="14" name="ICV">
    <vt:lpwstr>13DC6F47EE4F4CB9BCEBBDEF483C1F04</vt:lpwstr>
  </property>
</Properties>
</file>