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2E9C6">
      <w:pPr>
        <w:spacing w:before="101" w:line="225" w:lineRule="auto"/>
        <w:ind w:left="268" w:firstLine="871"/>
        <w:jc w:val="center"/>
        <w:rPr>
          <w:rFonts w:ascii="仿宋" w:hAnsi="仿宋" w:eastAsia="仿宋" w:cs="仿宋"/>
          <w:b/>
          <w:bCs/>
          <w:color w:val="auto"/>
          <w:spacing w:val="2"/>
          <w:sz w:val="43"/>
          <w:szCs w:val="43"/>
          <w:u w:val="single"/>
          <w:lang w:eastAsia="zh-CN"/>
        </w:rPr>
      </w:pPr>
    </w:p>
    <w:p w14:paraId="474342B8">
      <w:pPr>
        <w:spacing w:before="101" w:line="225" w:lineRule="auto"/>
        <w:ind w:left="268" w:firstLine="871"/>
        <w:jc w:val="center"/>
        <w:rPr>
          <w:rFonts w:ascii="仿宋" w:hAnsi="仿宋" w:eastAsia="仿宋" w:cs="仿宋"/>
          <w:b/>
          <w:bCs/>
          <w:color w:val="auto"/>
          <w:spacing w:val="2"/>
          <w:sz w:val="43"/>
          <w:szCs w:val="43"/>
          <w:u w:val="single"/>
          <w:lang w:eastAsia="zh-CN"/>
        </w:rPr>
      </w:pPr>
    </w:p>
    <w:p w14:paraId="75FF3EFA">
      <w:pPr>
        <w:spacing w:before="101" w:line="225" w:lineRule="auto"/>
        <w:ind w:left="268" w:firstLine="871"/>
        <w:jc w:val="center"/>
        <w:rPr>
          <w:rFonts w:ascii="仿宋" w:hAnsi="仿宋" w:eastAsia="仿宋" w:cs="仿宋"/>
          <w:b/>
          <w:bCs/>
          <w:color w:val="auto"/>
          <w:spacing w:val="2"/>
          <w:sz w:val="43"/>
          <w:szCs w:val="43"/>
          <w:u w:val="single"/>
          <w:lang w:eastAsia="zh-CN"/>
        </w:rPr>
      </w:pPr>
    </w:p>
    <w:p w14:paraId="10CDBFE1">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873"/>
        <w:jc w:val="center"/>
        <w:textAlignment w:val="baseline"/>
        <w:rPr>
          <w:rFonts w:ascii="仿宋" w:hAnsi="仿宋" w:eastAsia="仿宋" w:cs="仿宋"/>
          <w:b/>
          <w:bCs/>
          <w:color w:val="auto"/>
          <w:spacing w:val="2"/>
          <w:sz w:val="43"/>
          <w:szCs w:val="43"/>
          <w:u w:val="single"/>
          <w:lang w:eastAsia="zh-CN"/>
        </w:rPr>
      </w:pPr>
    </w:p>
    <w:p w14:paraId="664055C7">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0"/>
        <w:jc w:val="center"/>
        <w:textAlignment w:val="baseline"/>
        <w:rPr>
          <w:rFonts w:hint="eastAsia" w:ascii="红头文件字体" w:hAnsi="红头文件字体" w:eastAsia="红头文件字体" w:cs="红头文件字体"/>
          <w:b/>
          <w:bCs/>
          <w:color w:val="auto"/>
          <w:spacing w:val="2"/>
          <w:sz w:val="44"/>
          <w:szCs w:val="44"/>
          <w:u w:val="none"/>
          <w:lang w:val="en-US" w:eastAsia="zh-CN"/>
        </w:rPr>
      </w:pPr>
      <w:r>
        <w:rPr>
          <w:rFonts w:hint="eastAsia" w:ascii="红头文件字体" w:hAnsi="红头文件字体" w:eastAsia="红头文件字体" w:cs="红头文件字体"/>
          <w:b/>
          <w:bCs/>
          <w:color w:val="auto"/>
          <w:spacing w:val="2"/>
          <w:sz w:val="44"/>
          <w:szCs w:val="44"/>
          <w:u w:val="none"/>
          <w:lang w:eastAsia="zh-CN"/>
        </w:rPr>
        <w:t>毕节工业职业技术</w:t>
      </w:r>
      <w:r>
        <w:rPr>
          <w:rFonts w:hint="eastAsia" w:ascii="红头文件字体" w:hAnsi="红头文件字体" w:eastAsia="红头文件字体" w:cs="红头文件字体"/>
          <w:b/>
          <w:bCs/>
          <w:color w:val="auto"/>
          <w:spacing w:val="2"/>
          <w:sz w:val="44"/>
          <w:szCs w:val="44"/>
          <w:u w:val="none"/>
          <w:lang w:val="en-US" w:eastAsia="zh-CN"/>
        </w:rPr>
        <w:t>学院</w:t>
      </w:r>
    </w:p>
    <w:p w14:paraId="74E942B2">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0"/>
        <w:jc w:val="center"/>
        <w:textAlignment w:val="baseline"/>
        <w:rPr>
          <w:rFonts w:hint="eastAsia" w:ascii="红头文件字体" w:hAnsi="红头文件字体" w:eastAsia="红头文件字体" w:cs="红头文件字体"/>
          <w:b/>
          <w:bCs/>
          <w:color w:val="auto"/>
          <w:spacing w:val="2"/>
          <w:sz w:val="44"/>
          <w:szCs w:val="44"/>
          <w:u w:val="none"/>
          <w:lang w:eastAsia="zh-CN"/>
        </w:rPr>
      </w:pPr>
      <w:r>
        <w:rPr>
          <w:rFonts w:hint="eastAsia" w:ascii="红头文件字体" w:hAnsi="红头文件字体" w:eastAsia="红头文件字体" w:cs="红头文件字体"/>
          <w:b/>
          <w:bCs/>
          <w:color w:val="auto"/>
          <w:spacing w:val="2"/>
          <w:sz w:val="44"/>
          <w:szCs w:val="44"/>
          <w:u w:val="none"/>
          <w:lang w:eastAsia="zh-CN"/>
        </w:rPr>
        <w:t>官网网络安全等级保护测评项目招标</w:t>
      </w:r>
      <w:r>
        <w:rPr>
          <w:rFonts w:hint="eastAsia" w:ascii="红头文件字体" w:hAnsi="红头文件字体" w:eastAsia="红头文件字体" w:cs="红头文件字体"/>
          <w:b/>
          <w:bCs/>
          <w:color w:val="auto"/>
          <w:spacing w:val="2"/>
          <w:sz w:val="44"/>
          <w:szCs w:val="44"/>
          <w:u w:val="none"/>
          <w:lang w:val="en-US" w:eastAsia="zh-CN"/>
        </w:rPr>
        <w:t>方案</w:t>
      </w:r>
    </w:p>
    <w:p w14:paraId="034E4020">
      <w:pPr>
        <w:spacing w:before="101" w:line="225" w:lineRule="auto"/>
        <w:ind w:left="268" w:firstLine="871"/>
        <w:rPr>
          <w:rFonts w:ascii="仿宋" w:hAnsi="仿宋" w:eastAsia="仿宋" w:cs="仿宋"/>
          <w:b/>
          <w:bCs/>
          <w:color w:val="auto"/>
          <w:spacing w:val="2"/>
          <w:sz w:val="43"/>
          <w:szCs w:val="43"/>
          <w:u w:val="single"/>
          <w:lang w:eastAsia="zh-CN"/>
        </w:rPr>
      </w:pPr>
    </w:p>
    <w:p w14:paraId="654D568D">
      <w:pPr>
        <w:spacing w:before="101" w:line="225" w:lineRule="auto"/>
        <w:ind w:left="268" w:firstLine="871"/>
        <w:rPr>
          <w:rFonts w:ascii="仿宋" w:hAnsi="仿宋" w:eastAsia="仿宋" w:cs="仿宋"/>
          <w:b/>
          <w:bCs/>
          <w:color w:val="auto"/>
          <w:spacing w:val="2"/>
          <w:sz w:val="43"/>
          <w:szCs w:val="43"/>
          <w:u w:val="single"/>
          <w:lang w:eastAsia="zh-CN"/>
        </w:rPr>
      </w:pPr>
    </w:p>
    <w:p w14:paraId="28018BB0">
      <w:pPr>
        <w:spacing w:before="101" w:line="225" w:lineRule="auto"/>
        <w:ind w:left="268" w:firstLine="871"/>
        <w:rPr>
          <w:rFonts w:ascii="仿宋" w:hAnsi="仿宋" w:eastAsia="仿宋" w:cs="仿宋"/>
          <w:b/>
          <w:bCs/>
          <w:color w:val="auto"/>
          <w:spacing w:val="2"/>
          <w:sz w:val="43"/>
          <w:szCs w:val="43"/>
          <w:u w:val="single"/>
          <w:lang w:eastAsia="zh-CN"/>
        </w:rPr>
      </w:pPr>
    </w:p>
    <w:p w14:paraId="4F7663A1">
      <w:pPr>
        <w:spacing w:before="101" w:line="225" w:lineRule="auto"/>
        <w:ind w:left="268" w:firstLine="871"/>
        <w:rPr>
          <w:rFonts w:ascii="仿宋" w:hAnsi="仿宋" w:eastAsia="仿宋" w:cs="仿宋"/>
          <w:b/>
          <w:bCs/>
          <w:color w:val="auto"/>
          <w:spacing w:val="2"/>
          <w:sz w:val="43"/>
          <w:szCs w:val="43"/>
          <w:u w:val="single"/>
          <w:lang w:eastAsia="zh-CN"/>
        </w:rPr>
      </w:pPr>
    </w:p>
    <w:p w14:paraId="429A1C8F">
      <w:pPr>
        <w:spacing w:before="101" w:line="225" w:lineRule="auto"/>
        <w:ind w:left="268" w:firstLine="871"/>
        <w:rPr>
          <w:rFonts w:ascii="仿宋" w:hAnsi="仿宋" w:eastAsia="仿宋" w:cs="仿宋"/>
          <w:b/>
          <w:bCs/>
          <w:color w:val="auto"/>
          <w:spacing w:val="2"/>
          <w:sz w:val="43"/>
          <w:szCs w:val="43"/>
          <w:u w:val="single"/>
          <w:lang w:eastAsia="zh-CN"/>
        </w:rPr>
      </w:pPr>
    </w:p>
    <w:p w14:paraId="5A103993">
      <w:pPr>
        <w:spacing w:before="101" w:line="225" w:lineRule="auto"/>
        <w:ind w:left="268" w:firstLine="871"/>
        <w:rPr>
          <w:rFonts w:ascii="仿宋" w:hAnsi="仿宋" w:eastAsia="仿宋" w:cs="仿宋"/>
          <w:b/>
          <w:bCs/>
          <w:color w:val="auto"/>
          <w:spacing w:val="2"/>
          <w:sz w:val="43"/>
          <w:szCs w:val="43"/>
          <w:u w:val="single"/>
          <w:lang w:eastAsia="zh-CN"/>
        </w:rPr>
      </w:pPr>
    </w:p>
    <w:p w14:paraId="49C10E5A">
      <w:pPr>
        <w:spacing w:before="101" w:line="225" w:lineRule="auto"/>
        <w:rPr>
          <w:rFonts w:ascii="仿宋" w:hAnsi="仿宋" w:eastAsia="仿宋" w:cs="仿宋"/>
          <w:b/>
          <w:bCs/>
          <w:color w:val="auto"/>
          <w:spacing w:val="2"/>
          <w:sz w:val="43"/>
          <w:szCs w:val="43"/>
          <w:u w:val="single"/>
          <w:lang w:eastAsia="zh-CN"/>
        </w:rPr>
      </w:pPr>
    </w:p>
    <w:p w14:paraId="2C55139A">
      <w:pPr>
        <w:spacing w:before="101" w:line="225" w:lineRule="auto"/>
        <w:ind w:left="268" w:firstLine="871"/>
        <w:rPr>
          <w:rFonts w:ascii="仿宋" w:hAnsi="仿宋" w:eastAsia="仿宋" w:cs="仿宋"/>
          <w:b/>
          <w:bCs/>
          <w:color w:val="auto"/>
          <w:spacing w:val="2"/>
          <w:sz w:val="43"/>
          <w:szCs w:val="43"/>
          <w:u w:val="single"/>
          <w:lang w:eastAsia="zh-CN"/>
        </w:rPr>
      </w:pPr>
    </w:p>
    <w:p w14:paraId="30D6DD6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pacing w:val="2"/>
          <w:sz w:val="32"/>
          <w:szCs w:val="32"/>
          <w:u w:val="single"/>
          <w:lang w:eastAsia="zh-CN"/>
        </w:rPr>
      </w:pPr>
    </w:p>
    <w:p w14:paraId="5BBA99B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pacing w:val="2"/>
          <w:sz w:val="32"/>
          <w:szCs w:val="32"/>
          <w:u w:val="single"/>
          <w:lang w:eastAsia="zh-CN"/>
        </w:rPr>
      </w:pPr>
    </w:p>
    <w:p w14:paraId="4C00D58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2024年</w:t>
      </w:r>
      <w:r>
        <w:rPr>
          <w:rFonts w:hint="eastAsia" w:ascii="仿宋_GB2312" w:hAnsi="仿宋_GB2312" w:eastAsia="仿宋_GB2312" w:cs="仿宋_GB2312"/>
          <w:color w:val="auto"/>
          <w:spacing w:val="2"/>
          <w:sz w:val="32"/>
          <w:szCs w:val="32"/>
          <w:lang w:val="en-US" w:eastAsia="zh-CN"/>
        </w:rPr>
        <w:t>7</w:t>
      </w:r>
      <w:r>
        <w:rPr>
          <w:rFonts w:hint="eastAsia" w:ascii="仿宋_GB2312" w:hAnsi="仿宋_GB2312" w:eastAsia="仿宋_GB2312" w:cs="仿宋_GB2312"/>
          <w:color w:val="auto"/>
          <w:spacing w:val="2"/>
          <w:sz w:val="32"/>
          <w:szCs w:val="32"/>
          <w:lang w:eastAsia="zh-CN"/>
        </w:rPr>
        <w:t>月</w:t>
      </w:r>
    </w:p>
    <w:p w14:paraId="1C38D11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z w:val="32"/>
          <w:szCs w:val="32"/>
          <w:lang w:eastAsia="zh-CN"/>
        </w:rPr>
        <w:sectPr>
          <w:pgSz w:w="11906" w:h="16839"/>
          <w:pgMar w:top="1431" w:right="580" w:bottom="1429" w:left="831" w:header="0" w:footer="0" w:gutter="0"/>
          <w:cols w:space="720" w:num="1"/>
        </w:sectPr>
      </w:pPr>
      <w:r>
        <w:rPr>
          <w:rFonts w:hint="eastAsia" w:ascii="仿宋_GB2312" w:hAnsi="仿宋_GB2312" w:eastAsia="仿宋_GB2312" w:cs="仿宋_GB2312"/>
          <w:b/>
          <w:bCs/>
          <w:color w:val="auto"/>
          <w:sz w:val="32"/>
          <w:szCs w:val="32"/>
          <w:lang w:eastAsia="zh-CN"/>
        </w:rPr>
        <w:br w:type="page"/>
      </w:r>
    </w:p>
    <w:p w14:paraId="7A5E321F">
      <w:pPr>
        <w:pStyle w:val="2"/>
        <w:pageBreakBefore w:val="0"/>
        <w:widowControl/>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一、项目名称</w:t>
      </w:r>
    </w:p>
    <w:p w14:paraId="3B34AAF5">
      <w:pPr>
        <w:pageBreakBefore w:val="0"/>
        <w:widowControl/>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官网网络安全二级保护测评项目</w:t>
      </w:r>
    </w:p>
    <w:p w14:paraId="1FAA444D">
      <w:pPr>
        <w:pStyle w:val="2"/>
        <w:pageBreakBefore w:val="0"/>
        <w:widowControl/>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二、投标人资格要求</w:t>
      </w:r>
    </w:p>
    <w:p w14:paraId="0A3215E6">
      <w:pPr>
        <w:pageBreakBefore w:val="0"/>
        <w:widowControl/>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在中华人民共和国境内注册的合法经营企业，提供投标人营业执照、组织机构代码证、税务登记证（或三证合一的营业执照）；</w:t>
      </w:r>
    </w:p>
    <w:p w14:paraId="758B0FB3">
      <w:pPr>
        <w:pageBreakBefore w:val="0"/>
        <w:widowControl/>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法定代表人授权书原件及被授权人身份证复印件（法定代表人直接投标可不提供，但须提供法定代表人身份证明）；</w:t>
      </w:r>
    </w:p>
    <w:p w14:paraId="3D5E6E35">
      <w:pPr>
        <w:pageBreakBefore w:val="0"/>
        <w:widowControl/>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未被列入“信用中国”网站（www.creditchina.gov.cn）、中国政府采购网（www.ccgp.gov.cn）违法、失信记录的投标企业，对列入失信被执行人、重大税收违法案件当事人名单、政府采购严重违法失信行为记录名单的，将会被拒绝参加此项目投标（提供投标截止时间10日内查询页面截图并加盖公章）；</w:t>
      </w:r>
    </w:p>
    <w:p w14:paraId="510E60C0">
      <w:pPr>
        <w:pageBreakBefore w:val="0"/>
        <w:widowControl/>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投标人须在全国网络安全等级测评与检测评估机构目录中，并具备公安部第三研究所认证发放的《网络安全等级测评与检测评估机构服务认证证书》（复印件加盖公章）；</w:t>
      </w:r>
    </w:p>
    <w:p w14:paraId="04643C1B">
      <w:pPr>
        <w:pageBreakBefore w:val="0"/>
        <w:widowControl/>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为确保服务提供商的技术能力和综合素质，服务提供商自本项目开标之日前3年内未被列入“网络安全等级保护网”（www.djbh.net）中中关村信息安全测评联盟或国家网络安全等级保护工作协调小组办公室发布的整改公告；</w:t>
      </w:r>
    </w:p>
    <w:p w14:paraId="0217FA1A">
      <w:pPr>
        <w:pageBreakBefore w:val="0"/>
        <w:widowControl/>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不接受联合体投标。</w:t>
      </w:r>
    </w:p>
    <w:p w14:paraId="0A3A4FCB">
      <w:pPr>
        <w:suppressAutoHyphens/>
        <w:kinsoku/>
        <w:spacing w:line="360" w:lineRule="auto"/>
        <w:ind w:firstLine="480" w:firstLineChars="200"/>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br w:type="page"/>
      </w:r>
    </w:p>
    <w:p w14:paraId="075E9E7F">
      <w:pPr>
        <w:pStyle w:val="2"/>
        <w:pageBreakBefore w:val="0"/>
        <w:wordWrap/>
        <w:overflowPunct/>
        <w:topLinePunct w:val="0"/>
        <w:autoSpaceDE w:val="0"/>
        <w:autoSpaceDN w:val="0"/>
        <w:bidi w:val="0"/>
        <w:adjustRightInd w:val="0"/>
        <w:snapToGrid w:val="0"/>
        <w:spacing w:before="0" w:beforeLines="0" w:after="0" w:afterLines="0" w:line="360" w:lineRule="auto"/>
        <w:ind w:firstLine="643"/>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三、服务内容及要求</w:t>
      </w:r>
    </w:p>
    <w:p w14:paraId="5DC4888D">
      <w:pPr>
        <w:pageBreakBefore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测评系统</w:t>
      </w:r>
    </w:p>
    <w:tbl>
      <w:tblPr>
        <w:tblStyle w:val="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15"/>
        <w:gridCol w:w="2334"/>
        <w:gridCol w:w="1931"/>
        <w:gridCol w:w="1808"/>
      </w:tblGrid>
      <w:tr w14:paraId="1E08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14:paraId="08FBC1F1">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15" w:type="dxa"/>
          </w:tcPr>
          <w:p w14:paraId="692A1C21">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系统名称</w:t>
            </w:r>
          </w:p>
        </w:tc>
        <w:tc>
          <w:tcPr>
            <w:tcW w:w="2334" w:type="dxa"/>
          </w:tcPr>
          <w:p w14:paraId="4935054F">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安全保护等级</w:t>
            </w:r>
          </w:p>
        </w:tc>
        <w:tc>
          <w:tcPr>
            <w:tcW w:w="1931" w:type="dxa"/>
          </w:tcPr>
          <w:p w14:paraId="1DE8631A">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有效期</w:t>
            </w:r>
          </w:p>
        </w:tc>
        <w:tc>
          <w:tcPr>
            <w:tcW w:w="1808" w:type="dxa"/>
          </w:tcPr>
          <w:p w14:paraId="11C121E8">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测评结论</w:t>
            </w:r>
          </w:p>
        </w:tc>
      </w:tr>
      <w:tr w14:paraId="2762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92" w:type="dxa"/>
          </w:tcPr>
          <w:p w14:paraId="63BBCFEC">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15" w:type="dxa"/>
          </w:tcPr>
          <w:p w14:paraId="5E081189">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学院官网</w:t>
            </w:r>
          </w:p>
        </w:tc>
        <w:tc>
          <w:tcPr>
            <w:tcW w:w="2334" w:type="dxa"/>
          </w:tcPr>
          <w:p w14:paraId="13435C28">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w:t>
            </w:r>
          </w:p>
        </w:tc>
        <w:tc>
          <w:tcPr>
            <w:tcW w:w="1931" w:type="dxa"/>
          </w:tcPr>
          <w:p w14:paraId="7D6F2F2E">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/12/8</w:t>
            </w:r>
          </w:p>
        </w:tc>
        <w:tc>
          <w:tcPr>
            <w:tcW w:w="1808" w:type="dxa"/>
          </w:tcPr>
          <w:p w14:paraId="42C67D59">
            <w:pPr>
              <w:pageBreakBefore w:val="0"/>
              <w:widowControl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w:t>
            </w:r>
          </w:p>
        </w:tc>
      </w:tr>
    </w:tbl>
    <w:p w14:paraId="11F74021">
      <w:pPr>
        <w:pageBreakBefore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color w:val="auto"/>
          <w:sz w:val="32"/>
          <w:szCs w:val="32"/>
          <w:lang w:eastAsia="zh-CN"/>
        </w:rPr>
      </w:pPr>
    </w:p>
    <w:p w14:paraId="1A530AD9">
      <w:pPr>
        <w:pageBreakBefore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2.服务期限要求</w:t>
      </w:r>
    </w:p>
    <w:p w14:paraId="15CED8EC">
      <w:pPr>
        <w:pageBreakBefore w:val="0"/>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被测评系统满足测评条件后</w:t>
      </w:r>
      <w:r>
        <w:rPr>
          <w:rFonts w:hint="eastAsia" w:ascii="仿宋_GB2312" w:hAnsi="仿宋_GB2312" w:eastAsia="仿宋_GB2312" w:cs="仿宋_GB2312"/>
          <w:color w:val="FF0000"/>
          <w:sz w:val="32"/>
          <w:szCs w:val="32"/>
          <w:lang w:eastAsia="zh-CN"/>
        </w:rPr>
        <w:t>60工作日</w:t>
      </w:r>
      <w:r>
        <w:rPr>
          <w:rFonts w:hint="eastAsia" w:ascii="仿宋_GB2312" w:hAnsi="仿宋_GB2312" w:eastAsia="仿宋_GB2312" w:cs="仿宋_GB2312"/>
          <w:color w:val="auto"/>
          <w:sz w:val="32"/>
          <w:szCs w:val="32"/>
          <w:lang w:eastAsia="zh-CN"/>
        </w:rPr>
        <w:t>内完成等级保护测评工作。</w:t>
      </w:r>
    </w:p>
    <w:p w14:paraId="2D166865">
      <w:pPr>
        <w:pageBreakBefore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3.服务地点</w:t>
      </w:r>
    </w:p>
    <w:p w14:paraId="3C37A92D">
      <w:pPr>
        <w:pageBreakBefore w:val="0"/>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FF0000"/>
          <w:sz w:val="32"/>
          <w:szCs w:val="32"/>
          <w:lang w:eastAsia="zh-CN"/>
        </w:rPr>
        <w:t>贵州省</w:t>
      </w:r>
      <w:r>
        <w:rPr>
          <w:rFonts w:hint="eastAsia" w:ascii="仿宋_GB2312" w:hAnsi="仿宋_GB2312" w:eastAsia="仿宋_GB2312" w:cs="仿宋_GB2312"/>
          <w:color w:val="FF0000"/>
          <w:sz w:val="32"/>
          <w:szCs w:val="32"/>
          <w:lang w:val="en-US" w:eastAsia="zh-CN"/>
        </w:rPr>
        <w:t>毕节市</w:t>
      </w:r>
      <w:r>
        <w:rPr>
          <w:rFonts w:hint="eastAsia" w:ascii="仿宋_GB2312" w:hAnsi="仿宋_GB2312" w:eastAsia="仿宋_GB2312" w:cs="仿宋_GB2312"/>
          <w:color w:val="FF0000"/>
          <w:sz w:val="32"/>
          <w:szCs w:val="32"/>
          <w:lang w:eastAsia="zh-CN"/>
        </w:rPr>
        <w:t>职教城</w:t>
      </w:r>
      <w:r>
        <w:rPr>
          <w:rFonts w:hint="eastAsia" w:ascii="仿宋_GB2312" w:hAnsi="仿宋_GB2312" w:eastAsia="仿宋_GB2312" w:cs="仿宋_GB2312"/>
          <w:color w:val="FF0000"/>
          <w:sz w:val="32"/>
          <w:szCs w:val="32"/>
          <w:lang w:val="en-US" w:eastAsia="zh-CN"/>
        </w:rPr>
        <w:t>文翰路毕节工业职业技术学院</w:t>
      </w:r>
      <w:r>
        <w:rPr>
          <w:rFonts w:hint="eastAsia" w:ascii="仿宋_GB2312" w:hAnsi="仿宋_GB2312" w:eastAsia="仿宋_GB2312" w:cs="仿宋_GB2312"/>
          <w:color w:val="auto"/>
          <w:sz w:val="32"/>
          <w:szCs w:val="32"/>
          <w:lang w:eastAsia="zh-CN"/>
        </w:rPr>
        <w:t>。</w:t>
      </w:r>
    </w:p>
    <w:p w14:paraId="75FE4BAF">
      <w:pPr>
        <w:pageBreakBefore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4.服务要求</w:t>
      </w:r>
    </w:p>
    <w:p w14:paraId="6F98C395">
      <w:pPr>
        <w:pageBreakBefore w:val="0"/>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1. </w:t>
      </w:r>
      <w:r>
        <w:rPr>
          <w:rFonts w:hint="eastAsia" w:ascii="仿宋_GB2312" w:hAnsi="仿宋_GB2312" w:eastAsia="仿宋_GB2312" w:cs="仿宋_GB2312"/>
          <w:color w:val="auto"/>
          <w:sz w:val="32"/>
          <w:szCs w:val="32"/>
          <w:lang w:eastAsia="zh-CN"/>
        </w:rPr>
        <w:t>派遣有经验的人员完成本项目服务工作，进入现场实施人员从事本行业工作不少于2年，具有等级保护测评经验(提供测评师证书复印件)。</w:t>
      </w:r>
    </w:p>
    <w:p w14:paraId="12C0A13E">
      <w:pPr>
        <w:pageBreakBefore w:val="0"/>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2. </w:t>
      </w:r>
      <w:r>
        <w:rPr>
          <w:rFonts w:hint="eastAsia" w:ascii="仿宋_GB2312" w:hAnsi="仿宋_GB2312" w:eastAsia="仿宋_GB2312" w:cs="仿宋_GB2312"/>
          <w:color w:val="auto"/>
          <w:sz w:val="32"/>
          <w:szCs w:val="32"/>
          <w:lang w:eastAsia="zh-CN"/>
        </w:rPr>
        <w:t>投标人须承诺：中标后，投标文件中的人员全部参与服务工作，如因特殊原因更换现场实施人员，需征得采购单位同意，所更换人员工作资历及技术能力不能低于投标文件中承诺的人员要求。</w:t>
      </w:r>
    </w:p>
    <w:p w14:paraId="7CB58C83">
      <w:pPr>
        <w:pageBreakBefore w:val="0"/>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color w:val="auto"/>
          <w:sz w:val="32"/>
          <w:szCs w:val="32"/>
          <w:lang w:eastAsia="zh-CN"/>
        </w:rPr>
        <w:t>投标人拟派专业的服务团队，测评团队成员不少于4人，服务团队成员不少于3人，其中项目负责人各1人。</w:t>
      </w:r>
    </w:p>
    <w:p w14:paraId="701F51A1">
      <w:pPr>
        <w:pageBreakBefore w:val="0"/>
        <w:suppressAutoHyphens/>
        <w:kinsoku/>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4. </w:t>
      </w:r>
      <w:r>
        <w:rPr>
          <w:rFonts w:hint="eastAsia" w:ascii="仿宋_GB2312" w:hAnsi="仿宋_GB2312" w:eastAsia="仿宋_GB2312" w:cs="仿宋_GB2312"/>
          <w:color w:val="auto"/>
          <w:sz w:val="32"/>
          <w:szCs w:val="32"/>
          <w:lang w:eastAsia="zh-CN"/>
        </w:rPr>
        <w:t>为了保障测评过程中被测系统网络正常运行，项目组需要具备一定的安全保障能力，并具有网络安全应急处置机制及安全应急人员，同时根据《网络安全等级保护测评过程指南》要求，现场测评工作需要进行渗透测试，该项目需要具备专业渗透测试人员。</w:t>
      </w:r>
    </w:p>
    <w:p w14:paraId="795ABF18">
      <w:pPr>
        <w:spacing w:line="360" w:lineRule="auto"/>
        <w:ind w:firstLine="562"/>
        <w:jc w:val="both"/>
        <w:rPr>
          <w:rFonts w:ascii="仿宋" w:hAnsi="仿宋" w:eastAsia="仿宋" w:cs="仿宋"/>
          <w:b/>
          <w:bCs/>
          <w:color w:val="auto"/>
          <w:sz w:val="28"/>
          <w:szCs w:val="28"/>
          <w:lang w:eastAsia="zh-CN"/>
        </w:rPr>
      </w:pPr>
      <w:r>
        <w:rPr>
          <w:rFonts w:ascii="仿宋" w:hAnsi="仿宋" w:eastAsia="仿宋" w:cs="仿宋"/>
          <w:b/>
          <w:bCs/>
          <w:color w:val="auto"/>
          <w:sz w:val="28"/>
          <w:szCs w:val="28"/>
          <w:lang w:eastAsia="zh-CN"/>
        </w:rPr>
        <w:br w:type="page"/>
      </w:r>
    </w:p>
    <w:p w14:paraId="0C0262FE">
      <w:pPr>
        <w:pStyle w:val="2"/>
        <w:ind w:firstLine="64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、评标方法</w:t>
      </w:r>
    </w:p>
    <w:p w14:paraId="48963BAC">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本次评标办法：综合评分法</w:t>
      </w:r>
    </w:p>
    <w:p w14:paraId="3713702E">
      <w:pPr>
        <w:pStyle w:val="2"/>
        <w:ind w:firstLine="64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 评分方案</w:t>
      </w:r>
    </w:p>
    <w:tbl>
      <w:tblPr>
        <w:tblStyle w:val="6"/>
        <w:tblW w:w="5113"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111"/>
        <w:gridCol w:w="6331"/>
        <w:gridCol w:w="613"/>
        <w:gridCol w:w="580"/>
      </w:tblGrid>
      <w:tr w14:paraId="1E37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62" w:type="pct"/>
            <w:shd w:val="clear" w:color="auto" w:fill="auto"/>
            <w:vAlign w:val="center"/>
          </w:tcPr>
          <w:p w14:paraId="4E27C812">
            <w:pPr>
              <w:pStyle w:val="14"/>
              <w:jc w:val="center"/>
            </w:pPr>
            <w:r>
              <w:rPr>
                <w:rFonts w:hint="eastAsia"/>
              </w:rPr>
              <w:t>项目</w:t>
            </w:r>
          </w:p>
        </w:tc>
        <w:tc>
          <w:tcPr>
            <w:tcW w:w="571" w:type="pct"/>
            <w:shd w:val="clear" w:color="auto" w:fill="auto"/>
            <w:vAlign w:val="center"/>
          </w:tcPr>
          <w:p w14:paraId="091271E8">
            <w:pPr>
              <w:pStyle w:val="14"/>
              <w:jc w:val="center"/>
            </w:pPr>
            <w:r>
              <w:rPr>
                <w:rFonts w:hint="eastAsia"/>
              </w:rPr>
              <w:t>分项名称</w:t>
            </w:r>
          </w:p>
        </w:tc>
        <w:tc>
          <w:tcPr>
            <w:tcW w:w="3253" w:type="pct"/>
            <w:shd w:val="clear" w:color="auto" w:fill="auto"/>
            <w:vAlign w:val="center"/>
          </w:tcPr>
          <w:p w14:paraId="04DBEBE2">
            <w:pPr>
              <w:pStyle w:val="14"/>
              <w:jc w:val="center"/>
            </w:pPr>
            <w:r>
              <w:rPr>
                <w:rFonts w:hint="eastAsia"/>
              </w:rPr>
              <w:t>评分标准</w:t>
            </w:r>
          </w:p>
        </w:tc>
        <w:tc>
          <w:tcPr>
            <w:tcW w:w="315" w:type="pct"/>
            <w:shd w:val="clear" w:color="auto" w:fill="auto"/>
            <w:vAlign w:val="center"/>
          </w:tcPr>
          <w:p w14:paraId="67797605">
            <w:pPr>
              <w:pStyle w:val="14"/>
              <w:spacing w:line="240" w:lineRule="auto"/>
              <w:jc w:val="center"/>
            </w:pPr>
            <w:r>
              <w:rPr>
                <w:rFonts w:hint="eastAsia"/>
              </w:rPr>
              <w:t>满分</w:t>
            </w:r>
          </w:p>
        </w:tc>
        <w:tc>
          <w:tcPr>
            <w:tcW w:w="298" w:type="pct"/>
            <w:shd w:val="clear" w:color="auto" w:fill="auto"/>
            <w:vAlign w:val="center"/>
          </w:tcPr>
          <w:p w14:paraId="752950B4">
            <w:pPr>
              <w:pStyle w:val="14"/>
              <w:spacing w:line="240" w:lineRule="auto"/>
              <w:jc w:val="center"/>
            </w:pPr>
            <w:r>
              <w:rPr>
                <w:rFonts w:hint="eastAsia"/>
              </w:rPr>
              <w:t>得分</w:t>
            </w:r>
          </w:p>
        </w:tc>
      </w:tr>
      <w:tr w14:paraId="7853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shd w:val="clear" w:color="auto" w:fill="auto"/>
            <w:vAlign w:val="center"/>
          </w:tcPr>
          <w:p w14:paraId="5A308E88">
            <w:pPr>
              <w:pStyle w:val="14"/>
            </w:pPr>
            <w:r>
              <w:rPr>
                <w:rFonts w:hint="eastAsia"/>
              </w:rPr>
              <w:t>价格部分</w:t>
            </w:r>
          </w:p>
          <w:p w14:paraId="156BF15B">
            <w:pPr>
              <w:pStyle w:val="14"/>
            </w:pPr>
            <w:r>
              <w:rPr>
                <w:rFonts w:hint="eastAsia"/>
              </w:rPr>
              <w:t>（30分）</w:t>
            </w:r>
          </w:p>
        </w:tc>
        <w:tc>
          <w:tcPr>
            <w:tcW w:w="571" w:type="pct"/>
            <w:shd w:val="clear" w:color="auto" w:fill="auto"/>
            <w:vAlign w:val="center"/>
          </w:tcPr>
          <w:p w14:paraId="71B2CB5D">
            <w:pPr>
              <w:pStyle w:val="14"/>
            </w:pPr>
            <w:r>
              <w:rPr>
                <w:rFonts w:hint="eastAsia"/>
              </w:rPr>
              <w:t>投标报价</w:t>
            </w:r>
          </w:p>
          <w:p w14:paraId="214E88FC">
            <w:pPr>
              <w:pStyle w:val="14"/>
            </w:pPr>
            <w:r>
              <w:rPr>
                <w:rFonts w:hint="eastAsia"/>
              </w:rPr>
              <w:t>（30分）</w:t>
            </w:r>
          </w:p>
        </w:tc>
        <w:tc>
          <w:tcPr>
            <w:tcW w:w="3253" w:type="pct"/>
            <w:shd w:val="clear" w:color="auto" w:fill="auto"/>
            <w:vAlign w:val="center"/>
          </w:tcPr>
          <w:p w14:paraId="69C5E2C7">
            <w:pPr>
              <w:pStyle w:val="14"/>
              <w:jc w:val="both"/>
            </w:pPr>
            <w:r>
              <w:rPr>
                <w:rFonts w:hint="eastAsia"/>
              </w:rPr>
              <w:t>本次项目最高限价：</w:t>
            </w:r>
            <w:r>
              <w:rPr>
                <w:rFonts w:hint="eastAsia"/>
                <w:lang w:val="en-US" w:eastAsia="zh-CN"/>
              </w:rPr>
              <w:t>3.5</w:t>
            </w:r>
            <w:r>
              <w:rPr>
                <w:rFonts w:hint="eastAsia"/>
              </w:rPr>
              <w:t>万元，超过限价作无效标处理。</w:t>
            </w:r>
          </w:p>
          <w:p w14:paraId="5E7F7C36">
            <w:pPr>
              <w:pStyle w:val="14"/>
              <w:jc w:val="both"/>
            </w:pPr>
            <w:r>
              <w:rPr>
                <w:rFonts w:hint="eastAsia"/>
              </w:rPr>
              <w:t>（1）比选基准价计算公式：J=(B1+B2+…+ Bn)÷n，B1 、B2、……、Bn为n个有效比选报价。当有效比选报价个数 n＞5 时，J为去掉一个最高和一个最低报价后的算术平均值；</w:t>
            </w:r>
          </w:p>
          <w:p w14:paraId="094086AF">
            <w:pPr>
              <w:pStyle w:val="14"/>
              <w:jc w:val="both"/>
            </w:pPr>
            <w:r>
              <w:rPr>
                <w:rFonts w:hint="eastAsia"/>
              </w:rPr>
              <w:t>当有效比选报价个数n≤5时，J为全部有效比选报价的算术平均值。</w:t>
            </w:r>
          </w:p>
          <w:p w14:paraId="1D14C4E1">
            <w:pPr>
              <w:pStyle w:val="14"/>
              <w:jc w:val="both"/>
            </w:pPr>
            <w:r>
              <w:rPr>
                <w:rFonts w:hint="eastAsia"/>
              </w:rPr>
              <w:t>（2）偏差率计算公式：P=│Bn-J│÷J×100%，Bn-第n个有效比选报价评标基准价</w:t>
            </w:r>
          </w:p>
          <w:p w14:paraId="773D867D">
            <w:pPr>
              <w:pStyle w:val="14"/>
              <w:jc w:val="both"/>
            </w:pPr>
            <w:r>
              <w:rPr>
                <w:rFonts w:hint="eastAsia"/>
              </w:rPr>
              <w:t>（3）比选报价得分计算公式：I=</w:t>
            </w:r>
            <w:r>
              <w:rPr>
                <w:rFonts w:hint="eastAsia"/>
                <w:lang w:val="en-US" w:eastAsia="zh-CN"/>
              </w:rPr>
              <w:t>3</w:t>
            </w:r>
            <w:bookmarkStart w:id="0" w:name="_GoBack"/>
            <w:bookmarkEnd w:id="0"/>
            <w:r>
              <w:rPr>
                <w:rFonts w:hint="eastAsia"/>
              </w:rPr>
              <w:t>0－P×K×100，I-比选报价得分(0≤Ⅰ≤30)</w:t>
            </w:r>
          </w:p>
          <w:p w14:paraId="2D7E126B">
            <w:pPr>
              <w:pStyle w:val="14"/>
              <w:jc w:val="both"/>
            </w:pPr>
            <w:r>
              <w:rPr>
                <w:rFonts w:hint="eastAsia"/>
              </w:rPr>
              <w:t>（4）偏差率</w:t>
            </w:r>
          </w:p>
          <w:p w14:paraId="3010D27B">
            <w:pPr>
              <w:pStyle w:val="14"/>
              <w:ind w:firstLine="420" w:firstLineChars="200"/>
              <w:jc w:val="both"/>
            </w:pPr>
            <w:r>
              <w:rPr>
                <w:rFonts w:hint="eastAsia"/>
              </w:rPr>
              <w:t>K-扣分分值：K取1.0。比选报价得分计算过程中保留至小数点后2位。</w:t>
            </w:r>
          </w:p>
          <w:p w14:paraId="58EA7DD6">
            <w:pPr>
              <w:pStyle w:val="14"/>
              <w:jc w:val="both"/>
            </w:pPr>
            <w:r>
              <w:rPr>
                <w:rFonts w:hint="eastAsia"/>
              </w:rPr>
              <w:t>注：以最终报价为计算依据。</w:t>
            </w:r>
          </w:p>
        </w:tc>
        <w:tc>
          <w:tcPr>
            <w:tcW w:w="315" w:type="pct"/>
            <w:shd w:val="clear" w:color="auto" w:fill="auto"/>
            <w:vAlign w:val="center"/>
          </w:tcPr>
          <w:p w14:paraId="1D4DE66B">
            <w:pPr>
              <w:pStyle w:val="14"/>
              <w:jc w:val="center"/>
            </w:pPr>
            <w:r>
              <w:rPr>
                <w:rFonts w:hint="eastAsia"/>
              </w:rPr>
              <w:t>30</w:t>
            </w:r>
          </w:p>
        </w:tc>
        <w:tc>
          <w:tcPr>
            <w:tcW w:w="298" w:type="pct"/>
            <w:shd w:val="clear" w:color="auto" w:fill="auto"/>
            <w:vAlign w:val="center"/>
          </w:tcPr>
          <w:p w14:paraId="74BC1B90">
            <w:pPr>
              <w:pStyle w:val="14"/>
              <w:jc w:val="center"/>
            </w:pPr>
          </w:p>
        </w:tc>
      </w:tr>
      <w:tr w14:paraId="1BAD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restart"/>
            <w:shd w:val="clear" w:color="auto" w:fill="auto"/>
            <w:vAlign w:val="center"/>
          </w:tcPr>
          <w:p w14:paraId="1F70D4F3">
            <w:pPr>
              <w:pStyle w:val="14"/>
            </w:pPr>
            <w:r>
              <w:rPr>
                <w:rFonts w:hint="eastAsia"/>
              </w:rPr>
              <w:t>商务部分</w:t>
            </w:r>
          </w:p>
          <w:p w14:paraId="31245924">
            <w:pPr>
              <w:pStyle w:val="14"/>
            </w:pPr>
            <w:r>
              <w:rPr>
                <w:rFonts w:hint="eastAsia"/>
              </w:rPr>
              <w:t>（30分）</w:t>
            </w:r>
          </w:p>
        </w:tc>
        <w:tc>
          <w:tcPr>
            <w:tcW w:w="571" w:type="pct"/>
            <w:vMerge w:val="restart"/>
            <w:shd w:val="clear" w:color="auto" w:fill="auto"/>
            <w:vAlign w:val="center"/>
          </w:tcPr>
          <w:p w14:paraId="2FA7D30D">
            <w:pPr>
              <w:pStyle w:val="14"/>
            </w:pPr>
            <w:r>
              <w:rPr>
                <w:rFonts w:hint="eastAsia"/>
              </w:rPr>
              <w:t>投标人资质要求</w:t>
            </w:r>
          </w:p>
          <w:p w14:paraId="40774115">
            <w:pPr>
              <w:pStyle w:val="14"/>
            </w:pPr>
            <w:r>
              <w:rPr>
                <w:rFonts w:hint="eastAsia"/>
              </w:rPr>
              <w:t>（27分）</w:t>
            </w:r>
          </w:p>
        </w:tc>
        <w:tc>
          <w:tcPr>
            <w:tcW w:w="3253" w:type="pct"/>
            <w:shd w:val="clear" w:color="auto" w:fill="auto"/>
          </w:tcPr>
          <w:p w14:paraId="74E80C85">
            <w:pPr>
              <w:pStyle w:val="14"/>
              <w:jc w:val="both"/>
            </w:pPr>
            <w:r>
              <w:rPr>
                <w:rFonts w:hint="eastAsia"/>
              </w:rPr>
              <w:t>投标人具有信息安全管理体系认证证书-ISO27001的得3分，不具备不得分；</w:t>
            </w:r>
          </w:p>
        </w:tc>
        <w:tc>
          <w:tcPr>
            <w:tcW w:w="315" w:type="pct"/>
            <w:shd w:val="clear" w:color="auto" w:fill="auto"/>
            <w:vAlign w:val="center"/>
          </w:tcPr>
          <w:p w14:paraId="11CF08C0">
            <w:pPr>
              <w:pStyle w:val="14"/>
              <w:jc w:val="center"/>
            </w:pPr>
            <w:r>
              <w:rPr>
                <w:rFonts w:hint="eastAsia"/>
              </w:rPr>
              <w:t>3</w:t>
            </w:r>
          </w:p>
        </w:tc>
        <w:tc>
          <w:tcPr>
            <w:tcW w:w="298" w:type="pct"/>
            <w:shd w:val="clear" w:color="auto" w:fill="auto"/>
          </w:tcPr>
          <w:p w14:paraId="7301060C">
            <w:pPr>
              <w:pStyle w:val="14"/>
              <w:jc w:val="center"/>
            </w:pPr>
          </w:p>
        </w:tc>
      </w:tr>
      <w:tr w14:paraId="322B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4A28B930">
            <w:pPr>
              <w:pStyle w:val="14"/>
            </w:pPr>
          </w:p>
        </w:tc>
        <w:tc>
          <w:tcPr>
            <w:tcW w:w="571" w:type="pct"/>
            <w:vMerge w:val="continue"/>
            <w:shd w:val="clear" w:color="auto" w:fill="auto"/>
            <w:vAlign w:val="center"/>
          </w:tcPr>
          <w:p w14:paraId="3D0E8D6D">
            <w:pPr>
              <w:pStyle w:val="14"/>
            </w:pPr>
          </w:p>
        </w:tc>
        <w:tc>
          <w:tcPr>
            <w:tcW w:w="3253" w:type="pct"/>
            <w:shd w:val="clear" w:color="auto" w:fill="auto"/>
          </w:tcPr>
          <w:p w14:paraId="727BCDBB">
            <w:pPr>
              <w:pStyle w:val="14"/>
              <w:jc w:val="both"/>
            </w:pPr>
            <w:r>
              <w:rPr>
                <w:rFonts w:hint="eastAsia"/>
              </w:rPr>
              <w:t>投标人具有信息技术服务管理体系认证证书-ISO20000的得3分，不具备不得分；</w:t>
            </w:r>
          </w:p>
        </w:tc>
        <w:tc>
          <w:tcPr>
            <w:tcW w:w="315" w:type="pct"/>
            <w:shd w:val="clear" w:color="auto" w:fill="auto"/>
            <w:vAlign w:val="center"/>
          </w:tcPr>
          <w:p w14:paraId="4ACE5023">
            <w:pPr>
              <w:pStyle w:val="14"/>
              <w:jc w:val="center"/>
            </w:pPr>
            <w:r>
              <w:rPr>
                <w:rFonts w:hint="eastAsia"/>
              </w:rPr>
              <w:t>3</w:t>
            </w:r>
          </w:p>
        </w:tc>
        <w:tc>
          <w:tcPr>
            <w:tcW w:w="298" w:type="pct"/>
            <w:shd w:val="clear" w:color="auto" w:fill="auto"/>
          </w:tcPr>
          <w:p w14:paraId="4861158F">
            <w:pPr>
              <w:pStyle w:val="14"/>
              <w:jc w:val="center"/>
            </w:pPr>
          </w:p>
        </w:tc>
      </w:tr>
      <w:tr w14:paraId="439D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7B013E4A">
            <w:pPr>
              <w:pStyle w:val="14"/>
            </w:pPr>
          </w:p>
        </w:tc>
        <w:tc>
          <w:tcPr>
            <w:tcW w:w="571" w:type="pct"/>
            <w:vMerge w:val="continue"/>
            <w:shd w:val="clear" w:color="auto" w:fill="auto"/>
            <w:vAlign w:val="center"/>
          </w:tcPr>
          <w:p w14:paraId="28C294E3">
            <w:pPr>
              <w:pStyle w:val="14"/>
            </w:pPr>
          </w:p>
        </w:tc>
        <w:tc>
          <w:tcPr>
            <w:tcW w:w="3253" w:type="pct"/>
            <w:shd w:val="clear" w:color="auto" w:fill="auto"/>
          </w:tcPr>
          <w:p w14:paraId="27269FFA">
            <w:pPr>
              <w:pStyle w:val="14"/>
              <w:jc w:val="both"/>
            </w:pPr>
            <w:r>
              <w:rPr>
                <w:rFonts w:hint="eastAsia"/>
              </w:rPr>
              <w:t>投标人具有质量管理体系认证证书-ISO9001的得3分，不具备不得分；</w:t>
            </w:r>
          </w:p>
        </w:tc>
        <w:tc>
          <w:tcPr>
            <w:tcW w:w="315" w:type="pct"/>
            <w:shd w:val="clear" w:color="auto" w:fill="auto"/>
            <w:vAlign w:val="center"/>
          </w:tcPr>
          <w:p w14:paraId="365EC889">
            <w:pPr>
              <w:pStyle w:val="14"/>
              <w:jc w:val="center"/>
            </w:pPr>
            <w:r>
              <w:rPr>
                <w:rFonts w:hint="eastAsia"/>
              </w:rPr>
              <w:t>3</w:t>
            </w:r>
          </w:p>
        </w:tc>
        <w:tc>
          <w:tcPr>
            <w:tcW w:w="298" w:type="pct"/>
            <w:shd w:val="clear" w:color="auto" w:fill="auto"/>
          </w:tcPr>
          <w:p w14:paraId="00DDE904">
            <w:pPr>
              <w:pStyle w:val="14"/>
              <w:jc w:val="center"/>
            </w:pPr>
          </w:p>
        </w:tc>
      </w:tr>
      <w:tr w14:paraId="03D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064E0C8F">
            <w:pPr>
              <w:pStyle w:val="14"/>
            </w:pPr>
          </w:p>
        </w:tc>
        <w:tc>
          <w:tcPr>
            <w:tcW w:w="571" w:type="pct"/>
            <w:vMerge w:val="continue"/>
            <w:shd w:val="clear" w:color="auto" w:fill="auto"/>
            <w:vAlign w:val="center"/>
          </w:tcPr>
          <w:p w14:paraId="06C3B5A5">
            <w:pPr>
              <w:pStyle w:val="14"/>
            </w:pPr>
          </w:p>
        </w:tc>
        <w:tc>
          <w:tcPr>
            <w:tcW w:w="3253" w:type="pct"/>
            <w:shd w:val="clear" w:color="auto" w:fill="auto"/>
          </w:tcPr>
          <w:p w14:paraId="45496AC2">
            <w:pPr>
              <w:pStyle w:val="14"/>
              <w:jc w:val="both"/>
            </w:pPr>
            <w:r>
              <w:rPr>
                <w:rFonts w:hint="eastAsia"/>
              </w:rPr>
              <w:t>投标人具有中国网络安全审查技术与认证中心颁发的信息安全服务资质认证证书-信息安全应急处理的得3分，不具备不得分；</w:t>
            </w:r>
          </w:p>
        </w:tc>
        <w:tc>
          <w:tcPr>
            <w:tcW w:w="315" w:type="pct"/>
            <w:shd w:val="clear" w:color="auto" w:fill="auto"/>
            <w:vAlign w:val="center"/>
          </w:tcPr>
          <w:p w14:paraId="404B12FD">
            <w:pPr>
              <w:pStyle w:val="14"/>
              <w:jc w:val="center"/>
            </w:pPr>
            <w:r>
              <w:rPr>
                <w:rFonts w:hint="eastAsia"/>
              </w:rPr>
              <w:t>3</w:t>
            </w:r>
          </w:p>
        </w:tc>
        <w:tc>
          <w:tcPr>
            <w:tcW w:w="298" w:type="pct"/>
            <w:shd w:val="clear" w:color="auto" w:fill="auto"/>
          </w:tcPr>
          <w:p w14:paraId="2F867B81">
            <w:pPr>
              <w:pStyle w:val="14"/>
              <w:jc w:val="center"/>
            </w:pPr>
          </w:p>
        </w:tc>
      </w:tr>
      <w:tr w14:paraId="10BE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313C01D9">
            <w:pPr>
              <w:pStyle w:val="14"/>
            </w:pPr>
          </w:p>
        </w:tc>
        <w:tc>
          <w:tcPr>
            <w:tcW w:w="571" w:type="pct"/>
            <w:vMerge w:val="continue"/>
            <w:shd w:val="clear" w:color="auto" w:fill="auto"/>
            <w:vAlign w:val="center"/>
          </w:tcPr>
          <w:p w14:paraId="491FBD48">
            <w:pPr>
              <w:pStyle w:val="14"/>
            </w:pPr>
          </w:p>
        </w:tc>
        <w:tc>
          <w:tcPr>
            <w:tcW w:w="3253" w:type="pct"/>
            <w:shd w:val="clear" w:color="auto" w:fill="auto"/>
          </w:tcPr>
          <w:p w14:paraId="6346B1DF">
            <w:pPr>
              <w:pStyle w:val="14"/>
              <w:jc w:val="both"/>
            </w:pPr>
            <w:r>
              <w:rPr>
                <w:rFonts w:hint="eastAsia"/>
              </w:rPr>
              <w:t>投标人具有中国网络安全审查技术与认证中心颁发的信息安全服务资质认证证书-信息系统安全运维的得3分，不具备不得分；</w:t>
            </w:r>
          </w:p>
        </w:tc>
        <w:tc>
          <w:tcPr>
            <w:tcW w:w="315" w:type="pct"/>
            <w:shd w:val="clear" w:color="auto" w:fill="auto"/>
            <w:vAlign w:val="center"/>
          </w:tcPr>
          <w:p w14:paraId="0BB02A28">
            <w:pPr>
              <w:pStyle w:val="14"/>
              <w:jc w:val="center"/>
            </w:pPr>
            <w:r>
              <w:rPr>
                <w:rFonts w:hint="eastAsia"/>
              </w:rPr>
              <w:t>3</w:t>
            </w:r>
          </w:p>
        </w:tc>
        <w:tc>
          <w:tcPr>
            <w:tcW w:w="298" w:type="pct"/>
            <w:shd w:val="clear" w:color="auto" w:fill="auto"/>
          </w:tcPr>
          <w:p w14:paraId="260890D0">
            <w:pPr>
              <w:pStyle w:val="14"/>
              <w:jc w:val="center"/>
            </w:pPr>
          </w:p>
        </w:tc>
      </w:tr>
      <w:tr w14:paraId="3503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7EA5F915">
            <w:pPr>
              <w:pStyle w:val="14"/>
            </w:pPr>
          </w:p>
        </w:tc>
        <w:tc>
          <w:tcPr>
            <w:tcW w:w="571" w:type="pct"/>
            <w:vMerge w:val="continue"/>
            <w:shd w:val="clear" w:color="auto" w:fill="auto"/>
            <w:vAlign w:val="center"/>
          </w:tcPr>
          <w:p w14:paraId="6D703BE6">
            <w:pPr>
              <w:pStyle w:val="14"/>
            </w:pPr>
          </w:p>
        </w:tc>
        <w:tc>
          <w:tcPr>
            <w:tcW w:w="3253" w:type="pct"/>
            <w:shd w:val="clear" w:color="auto" w:fill="auto"/>
          </w:tcPr>
          <w:p w14:paraId="69AA6182">
            <w:pPr>
              <w:pStyle w:val="14"/>
              <w:jc w:val="both"/>
            </w:pPr>
            <w:r>
              <w:rPr>
                <w:rFonts w:hint="eastAsia"/>
              </w:rPr>
              <w:t>投标人具有中国网络安全审查技术与认证中心颁发的信息安全服务资质认证证书-信息安全风险评估的得3分，不具备不得分；</w:t>
            </w:r>
          </w:p>
        </w:tc>
        <w:tc>
          <w:tcPr>
            <w:tcW w:w="315" w:type="pct"/>
            <w:shd w:val="clear" w:color="auto" w:fill="auto"/>
            <w:vAlign w:val="center"/>
          </w:tcPr>
          <w:p w14:paraId="6C6657E4">
            <w:pPr>
              <w:pStyle w:val="14"/>
              <w:jc w:val="center"/>
            </w:pPr>
            <w:r>
              <w:rPr>
                <w:rFonts w:hint="eastAsia"/>
              </w:rPr>
              <w:t>3</w:t>
            </w:r>
          </w:p>
        </w:tc>
        <w:tc>
          <w:tcPr>
            <w:tcW w:w="298" w:type="pct"/>
            <w:shd w:val="clear" w:color="auto" w:fill="auto"/>
          </w:tcPr>
          <w:p w14:paraId="394A34AA">
            <w:pPr>
              <w:pStyle w:val="14"/>
              <w:jc w:val="center"/>
            </w:pPr>
          </w:p>
        </w:tc>
      </w:tr>
      <w:tr w14:paraId="3262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1383845D">
            <w:pPr>
              <w:pStyle w:val="14"/>
            </w:pPr>
          </w:p>
        </w:tc>
        <w:tc>
          <w:tcPr>
            <w:tcW w:w="571" w:type="pct"/>
            <w:vMerge w:val="continue"/>
            <w:shd w:val="clear" w:color="auto" w:fill="auto"/>
            <w:vAlign w:val="center"/>
          </w:tcPr>
          <w:p w14:paraId="011273F2">
            <w:pPr>
              <w:pStyle w:val="14"/>
            </w:pPr>
          </w:p>
        </w:tc>
        <w:tc>
          <w:tcPr>
            <w:tcW w:w="3253" w:type="pct"/>
            <w:shd w:val="clear" w:color="auto" w:fill="auto"/>
          </w:tcPr>
          <w:p w14:paraId="0500E099">
            <w:pPr>
              <w:pStyle w:val="14"/>
              <w:jc w:val="both"/>
            </w:pPr>
            <w:r>
              <w:rPr>
                <w:rFonts w:hint="eastAsia"/>
              </w:rPr>
              <w:t>投标人具有ITSS信息技术服务标准符合性证书得3分，不具备不得分；</w:t>
            </w:r>
          </w:p>
        </w:tc>
        <w:tc>
          <w:tcPr>
            <w:tcW w:w="315" w:type="pct"/>
            <w:shd w:val="clear" w:color="auto" w:fill="auto"/>
            <w:vAlign w:val="center"/>
          </w:tcPr>
          <w:p w14:paraId="70F261A0">
            <w:pPr>
              <w:pStyle w:val="14"/>
              <w:jc w:val="center"/>
            </w:pPr>
            <w:r>
              <w:rPr>
                <w:rFonts w:hint="eastAsia"/>
              </w:rPr>
              <w:t>3</w:t>
            </w:r>
          </w:p>
        </w:tc>
        <w:tc>
          <w:tcPr>
            <w:tcW w:w="298" w:type="pct"/>
            <w:shd w:val="clear" w:color="auto" w:fill="auto"/>
          </w:tcPr>
          <w:p w14:paraId="4E704497">
            <w:pPr>
              <w:pStyle w:val="14"/>
              <w:jc w:val="center"/>
            </w:pPr>
          </w:p>
        </w:tc>
      </w:tr>
      <w:tr w14:paraId="73D3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24DFA845">
            <w:pPr>
              <w:pStyle w:val="14"/>
            </w:pPr>
          </w:p>
        </w:tc>
        <w:tc>
          <w:tcPr>
            <w:tcW w:w="571" w:type="pct"/>
            <w:vMerge w:val="continue"/>
            <w:shd w:val="clear" w:color="auto" w:fill="auto"/>
            <w:vAlign w:val="center"/>
          </w:tcPr>
          <w:p w14:paraId="511DF295">
            <w:pPr>
              <w:pStyle w:val="14"/>
            </w:pPr>
          </w:p>
        </w:tc>
        <w:tc>
          <w:tcPr>
            <w:tcW w:w="3253" w:type="pct"/>
            <w:shd w:val="clear" w:color="auto" w:fill="auto"/>
          </w:tcPr>
          <w:p w14:paraId="5F2344B3">
            <w:pPr>
              <w:pStyle w:val="14"/>
              <w:jc w:val="both"/>
            </w:pPr>
            <w:r>
              <w:rPr>
                <w:rFonts w:hint="eastAsia"/>
              </w:rPr>
              <w:t>投标人具有中国信息安全测评中心颁发的国家信息安全漏洞库（CNNVD）技术支撑单位证书得3分，不具备不得分；</w:t>
            </w:r>
          </w:p>
        </w:tc>
        <w:tc>
          <w:tcPr>
            <w:tcW w:w="315" w:type="pct"/>
            <w:shd w:val="clear" w:color="auto" w:fill="auto"/>
            <w:vAlign w:val="center"/>
          </w:tcPr>
          <w:p w14:paraId="1BE2A7C3">
            <w:pPr>
              <w:pStyle w:val="14"/>
              <w:jc w:val="center"/>
            </w:pPr>
            <w:r>
              <w:rPr>
                <w:rFonts w:hint="eastAsia"/>
              </w:rPr>
              <w:t>3</w:t>
            </w:r>
          </w:p>
        </w:tc>
        <w:tc>
          <w:tcPr>
            <w:tcW w:w="298" w:type="pct"/>
            <w:shd w:val="clear" w:color="auto" w:fill="auto"/>
          </w:tcPr>
          <w:p w14:paraId="3051BD85">
            <w:pPr>
              <w:pStyle w:val="14"/>
              <w:jc w:val="center"/>
            </w:pPr>
          </w:p>
        </w:tc>
      </w:tr>
      <w:tr w14:paraId="4754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5C959EE1">
            <w:pPr>
              <w:pStyle w:val="14"/>
            </w:pPr>
          </w:p>
        </w:tc>
        <w:tc>
          <w:tcPr>
            <w:tcW w:w="571" w:type="pct"/>
            <w:vMerge w:val="continue"/>
            <w:shd w:val="clear" w:color="auto" w:fill="auto"/>
            <w:vAlign w:val="center"/>
          </w:tcPr>
          <w:p w14:paraId="2BCC2983">
            <w:pPr>
              <w:pStyle w:val="14"/>
            </w:pPr>
          </w:p>
        </w:tc>
        <w:tc>
          <w:tcPr>
            <w:tcW w:w="3253" w:type="pct"/>
            <w:shd w:val="clear" w:color="auto" w:fill="auto"/>
          </w:tcPr>
          <w:p w14:paraId="7B9815E7">
            <w:pPr>
              <w:pStyle w:val="14"/>
              <w:jc w:val="both"/>
            </w:pPr>
            <w:r>
              <w:rPr>
                <w:rFonts w:hint="eastAsia"/>
              </w:rPr>
              <w:t>投标人具有数据管理能力成熟度等级证书（DCMM）的得3分，不具备不得分；</w:t>
            </w:r>
          </w:p>
        </w:tc>
        <w:tc>
          <w:tcPr>
            <w:tcW w:w="315" w:type="pct"/>
            <w:shd w:val="clear" w:color="auto" w:fill="auto"/>
            <w:vAlign w:val="center"/>
          </w:tcPr>
          <w:p w14:paraId="3DB69D82">
            <w:pPr>
              <w:pStyle w:val="14"/>
              <w:jc w:val="center"/>
            </w:pPr>
            <w:r>
              <w:rPr>
                <w:rFonts w:hint="eastAsia"/>
              </w:rPr>
              <w:t>3</w:t>
            </w:r>
          </w:p>
        </w:tc>
        <w:tc>
          <w:tcPr>
            <w:tcW w:w="298" w:type="pct"/>
            <w:shd w:val="clear" w:color="auto" w:fill="auto"/>
          </w:tcPr>
          <w:p w14:paraId="1CA09A87">
            <w:pPr>
              <w:pStyle w:val="14"/>
              <w:jc w:val="center"/>
            </w:pPr>
          </w:p>
        </w:tc>
      </w:tr>
      <w:tr w14:paraId="1C3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2" w:type="pct"/>
            <w:vMerge w:val="continue"/>
            <w:shd w:val="clear" w:color="auto" w:fill="auto"/>
            <w:vAlign w:val="center"/>
          </w:tcPr>
          <w:p w14:paraId="7A1644E7">
            <w:pPr>
              <w:pStyle w:val="14"/>
            </w:pPr>
          </w:p>
        </w:tc>
        <w:tc>
          <w:tcPr>
            <w:tcW w:w="571" w:type="pct"/>
            <w:shd w:val="clear" w:color="auto" w:fill="auto"/>
            <w:vAlign w:val="center"/>
          </w:tcPr>
          <w:p w14:paraId="0A134F80">
            <w:pPr>
              <w:pStyle w:val="14"/>
            </w:pPr>
            <w:r>
              <w:rPr>
                <w:rFonts w:hint="eastAsia"/>
              </w:rPr>
              <w:t>投标业绩要求</w:t>
            </w:r>
          </w:p>
          <w:p w14:paraId="6C0763EF">
            <w:pPr>
              <w:pStyle w:val="14"/>
            </w:pPr>
            <w:r>
              <w:rPr>
                <w:rFonts w:hint="eastAsia"/>
              </w:rPr>
              <w:t>（3分）</w:t>
            </w:r>
          </w:p>
        </w:tc>
        <w:tc>
          <w:tcPr>
            <w:tcW w:w="3253" w:type="pct"/>
            <w:shd w:val="clear" w:color="auto" w:fill="auto"/>
          </w:tcPr>
          <w:p w14:paraId="292A08A7">
            <w:pPr>
              <w:pStyle w:val="14"/>
              <w:jc w:val="both"/>
            </w:pPr>
            <w:r>
              <w:rPr>
                <w:rFonts w:hint="eastAsia"/>
              </w:rPr>
              <w:t>投标人需要提供自2019年至今独立承担省级单位网络安全等级保护测评案例，每个案例得1分，此项最高得3分；</w:t>
            </w:r>
          </w:p>
          <w:p w14:paraId="73842DAE">
            <w:pPr>
              <w:pStyle w:val="14"/>
              <w:jc w:val="both"/>
            </w:pPr>
            <w:r>
              <w:rPr>
                <w:rFonts w:hint="eastAsia"/>
              </w:rPr>
              <w:t>备注：提供等保测评合同复印件关键页或中标通知书复印件，合同需明确签订履约日期。</w:t>
            </w:r>
          </w:p>
        </w:tc>
        <w:tc>
          <w:tcPr>
            <w:tcW w:w="315" w:type="pct"/>
            <w:shd w:val="clear" w:color="auto" w:fill="auto"/>
            <w:vAlign w:val="center"/>
          </w:tcPr>
          <w:p w14:paraId="32241297">
            <w:pPr>
              <w:pStyle w:val="14"/>
              <w:jc w:val="center"/>
            </w:pPr>
            <w:r>
              <w:rPr>
                <w:rFonts w:hint="eastAsia"/>
              </w:rPr>
              <w:t>3</w:t>
            </w:r>
          </w:p>
        </w:tc>
        <w:tc>
          <w:tcPr>
            <w:tcW w:w="298" w:type="pct"/>
            <w:shd w:val="clear" w:color="auto" w:fill="auto"/>
          </w:tcPr>
          <w:p w14:paraId="5F21F37B">
            <w:pPr>
              <w:pStyle w:val="14"/>
              <w:jc w:val="center"/>
            </w:pPr>
          </w:p>
        </w:tc>
      </w:tr>
      <w:tr w14:paraId="1B56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2" w:type="pct"/>
            <w:vMerge w:val="restart"/>
            <w:shd w:val="clear" w:color="auto" w:fill="auto"/>
            <w:vAlign w:val="center"/>
          </w:tcPr>
          <w:p w14:paraId="1C2EAA98">
            <w:pPr>
              <w:pStyle w:val="14"/>
            </w:pPr>
            <w:r>
              <w:rPr>
                <w:rFonts w:hint="eastAsia"/>
              </w:rPr>
              <w:t>技术部分</w:t>
            </w:r>
          </w:p>
          <w:p w14:paraId="70C3C045">
            <w:pPr>
              <w:pStyle w:val="14"/>
            </w:pPr>
            <w:r>
              <w:rPr>
                <w:rFonts w:hint="eastAsia"/>
              </w:rPr>
              <w:t>（40分）</w:t>
            </w:r>
          </w:p>
        </w:tc>
        <w:tc>
          <w:tcPr>
            <w:tcW w:w="571" w:type="pct"/>
            <w:vMerge w:val="restart"/>
            <w:shd w:val="clear" w:color="auto" w:fill="auto"/>
            <w:vAlign w:val="center"/>
          </w:tcPr>
          <w:p w14:paraId="531A58A5">
            <w:pPr>
              <w:pStyle w:val="14"/>
            </w:pPr>
            <w:r>
              <w:rPr>
                <w:rFonts w:hint="eastAsia"/>
              </w:rPr>
              <w:t>方案部分</w:t>
            </w:r>
          </w:p>
          <w:p w14:paraId="26C3EECE">
            <w:pPr>
              <w:pStyle w:val="14"/>
            </w:pPr>
            <w:r>
              <w:rPr>
                <w:rFonts w:hint="eastAsia"/>
              </w:rPr>
              <w:t>（12分）</w:t>
            </w:r>
          </w:p>
        </w:tc>
        <w:tc>
          <w:tcPr>
            <w:tcW w:w="3253" w:type="pct"/>
            <w:shd w:val="clear" w:color="auto" w:fill="auto"/>
            <w:vAlign w:val="center"/>
          </w:tcPr>
          <w:p w14:paraId="326AC172">
            <w:pPr>
              <w:pStyle w:val="14"/>
              <w:jc w:val="both"/>
            </w:pPr>
            <w:r>
              <w:rPr>
                <w:rFonts w:hint="eastAsia"/>
              </w:rPr>
              <w:t>具有详细且完善的项目管理方案，项目管理方案应包含但不限于本项目实施组织架构、项目管理原则、项目进度管理、项目变更管理、项目沟通管理、项目保密管理、项目文档管理、项目验收管理等内容。</w:t>
            </w:r>
          </w:p>
          <w:p w14:paraId="2855EB03">
            <w:pPr>
              <w:pStyle w:val="14"/>
              <w:jc w:val="both"/>
            </w:pPr>
            <w:r>
              <w:rPr>
                <w:rFonts w:hint="eastAsia"/>
              </w:rPr>
              <w:t>方案包含上述内容，且方案内容准确、条理清晰、逻辑严谨得4分，方案内容较全、条理清楚、具备一定逻辑得2分，无法体现方案的内容、条理及逻辑的得1分。不提供不得分。</w:t>
            </w:r>
          </w:p>
        </w:tc>
        <w:tc>
          <w:tcPr>
            <w:tcW w:w="315" w:type="pct"/>
            <w:shd w:val="clear" w:color="auto" w:fill="auto"/>
            <w:vAlign w:val="center"/>
          </w:tcPr>
          <w:p w14:paraId="2F205BDC">
            <w:pPr>
              <w:pStyle w:val="14"/>
              <w:jc w:val="center"/>
            </w:pPr>
            <w:r>
              <w:rPr>
                <w:rFonts w:hint="eastAsia"/>
              </w:rPr>
              <w:t>4</w:t>
            </w:r>
          </w:p>
        </w:tc>
        <w:tc>
          <w:tcPr>
            <w:tcW w:w="298" w:type="pct"/>
            <w:shd w:val="clear" w:color="auto" w:fill="auto"/>
            <w:vAlign w:val="center"/>
          </w:tcPr>
          <w:p w14:paraId="104A3B2A">
            <w:pPr>
              <w:pStyle w:val="14"/>
              <w:jc w:val="center"/>
            </w:pPr>
          </w:p>
        </w:tc>
      </w:tr>
      <w:tr w14:paraId="42FD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pct"/>
            <w:vMerge w:val="continue"/>
            <w:vAlign w:val="center"/>
          </w:tcPr>
          <w:p w14:paraId="62B05323">
            <w:pPr>
              <w:pStyle w:val="14"/>
            </w:pPr>
          </w:p>
        </w:tc>
        <w:tc>
          <w:tcPr>
            <w:tcW w:w="571" w:type="pct"/>
            <w:vMerge w:val="continue"/>
            <w:vAlign w:val="center"/>
          </w:tcPr>
          <w:p w14:paraId="04FF28C4">
            <w:pPr>
              <w:pStyle w:val="14"/>
            </w:pPr>
          </w:p>
        </w:tc>
        <w:tc>
          <w:tcPr>
            <w:tcW w:w="3253" w:type="pct"/>
            <w:shd w:val="clear" w:color="auto" w:fill="auto"/>
            <w:vAlign w:val="center"/>
          </w:tcPr>
          <w:p w14:paraId="0BDD6BE8">
            <w:pPr>
              <w:pStyle w:val="14"/>
              <w:jc w:val="both"/>
            </w:pPr>
            <w:r>
              <w:rPr>
                <w:rFonts w:hint="eastAsia"/>
              </w:rPr>
              <w:t>具有详细且完善的等保测评实施方案，方案内容应包含但不限于项目范围、项目流程、工作内容、测评指标、测评工具以及报告编制步骤说明。</w:t>
            </w:r>
          </w:p>
          <w:p w14:paraId="3FB5F9CD">
            <w:pPr>
              <w:pStyle w:val="14"/>
              <w:jc w:val="both"/>
            </w:pPr>
            <w:r>
              <w:rPr>
                <w:rFonts w:hint="eastAsia"/>
              </w:rPr>
              <w:t>方案包含上述内容，且方案内容准确、条理清晰、逻辑严谨得4分，方案内容较全、条理清楚、具备一定逻辑得2分，无法体现方案的内容、条理及逻辑的得1分。不提供不得分。</w:t>
            </w:r>
          </w:p>
        </w:tc>
        <w:tc>
          <w:tcPr>
            <w:tcW w:w="315" w:type="pct"/>
            <w:shd w:val="clear" w:color="auto" w:fill="auto"/>
            <w:vAlign w:val="center"/>
          </w:tcPr>
          <w:p w14:paraId="2C837A3E">
            <w:pPr>
              <w:pStyle w:val="14"/>
              <w:jc w:val="center"/>
            </w:pPr>
            <w:r>
              <w:rPr>
                <w:rFonts w:hint="eastAsia"/>
              </w:rPr>
              <w:t>4</w:t>
            </w:r>
          </w:p>
        </w:tc>
        <w:tc>
          <w:tcPr>
            <w:tcW w:w="298" w:type="pct"/>
            <w:shd w:val="clear" w:color="auto" w:fill="auto"/>
            <w:vAlign w:val="center"/>
          </w:tcPr>
          <w:p w14:paraId="1CD87FE1">
            <w:pPr>
              <w:pStyle w:val="14"/>
              <w:jc w:val="center"/>
            </w:pPr>
          </w:p>
        </w:tc>
      </w:tr>
      <w:tr w14:paraId="76DE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pct"/>
            <w:vMerge w:val="continue"/>
            <w:vAlign w:val="center"/>
          </w:tcPr>
          <w:p w14:paraId="646CA7C3">
            <w:pPr>
              <w:pStyle w:val="14"/>
            </w:pPr>
          </w:p>
        </w:tc>
        <w:tc>
          <w:tcPr>
            <w:tcW w:w="571" w:type="pct"/>
            <w:vMerge w:val="continue"/>
            <w:vAlign w:val="center"/>
          </w:tcPr>
          <w:p w14:paraId="5A1F6D4D">
            <w:pPr>
              <w:pStyle w:val="14"/>
            </w:pPr>
          </w:p>
        </w:tc>
        <w:tc>
          <w:tcPr>
            <w:tcW w:w="3253" w:type="pct"/>
            <w:shd w:val="clear" w:color="auto" w:fill="auto"/>
            <w:vAlign w:val="center"/>
          </w:tcPr>
          <w:p w14:paraId="13234B55">
            <w:pPr>
              <w:pStyle w:val="14"/>
              <w:jc w:val="both"/>
            </w:pPr>
            <w:r>
              <w:rPr>
                <w:rFonts w:hint="eastAsia"/>
              </w:rPr>
              <w:t>在本项目实施过程中，投标人应具有自主知识产权且满足项目实施要求的检测工具，功能要求如下：</w:t>
            </w:r>
          </w:p>
          <w:p w14:paraId="418AF911">
            <w:pPr>
              <w:pStyle w:val="14"/>
              <w:jc w:val="both"/>
            </w:pPr>
            <w:r>
              <w:rPr>
                <w:rFonts w:hint="eastAsia"/>
              </w:rPr>
              <w:t>（1） 项目实施过程中进行的渗透测试的部分工作可以由检测设备进行自动化渗透测试；</w:t>
            </w:r>
          </w:p>
          <w:p w14:paraId="2F59D4D8">
            <w:pPr>
              <w:pStyle w:val="14"/>
              <w:jc w:val="both"/>
            </w:pPr>
            <w:r>
              <w:rPr>
                <w:rFonts w:hint="eastAsia"/>
              </w:rPr>
              <w:t>（2） 项目实施过程中使用的检测设备的渗透测试部分可以自定义攻击插件，实现自定义的攻击能力；</w:t>
            </w:r>
          </w:p>
          <w:p w14:paraId="03A254B8">
            <w:pPr>
              <w:pStyle w:val="14"/>
              <w:jc w:val="both"/>
            </w:pPr>
            <w:r>
              <w:rPr>
                <w:rFonts w:hint="eastAsia"/>
              </w:rPr>
              <w:t>（3） 检测设备具有社会工程学测试攻击的功能；</w:t>
            </w:r>
          </w:p>
          <w:p w14:paraId="400EDCF9">
            <w:pPr>
              <w:pStyle w:val="14"/>
              <w:jc w:val="both"/>
            </w:pPr>
            <w:r>
              <w:rPr>
                <w:rFonts w:hint="eastAsia"/>
              </w:rPr>
              <w:t>（4） 检测设备可通过内置的方法反弹交互shell，执行基本命令、交互执行操作等功能。</w:t>
            </w:r>
          </w:p>
          <w:p w14:paraId="1CC32CFA">
            <w:pPr>
              <w:pStyle w:val="14"/>
              <w:jc w:val="both"/>
            </w:pPr>
            <w:r>
              <w:rPr>
                <w:rFonts w:hint="eastAsia"/>
              </w:rPr>
              <w:t>以上功能需提供设备功能截图以及软件著作权证书复印件并加盖公章，具备软件著作权得2分，无软件著作权证书不得分。配备工具中全部满足上述功能得2分，缺少1项扣0.5分。共计4分。</w:t>
            </w:r>
          </w:p>
        </w:tc>
        <w:tc>
          <w:tcPr>
            <w:tcW w:w="315" w:type="pct"/>
            <w:shd w:val="clear" w:color="auto" w:fill="auto"/>
            <w:vAlign w:val="center"/>
          </w:tcPr>
          <w:p w14:paraId="02625846">
            <w:pPr>
              <w:pStyle w:val="14"/>
              <w:jc w:val="center"/>
            </w:pPr>
            <w:r>
              <w:rPr>
                <w:rFonts w:hint="eastAsia"/>
              </w:rPr>
              <w:t>4</w:t>
            </w:r>
          </w:p>
        </w:tc>
        <w:tc>
          <w:tcPr>
            <w:tcW w:w="298" w:type="pct"/>
            <w:shd w:val="clear" w:color="auto" w:fill="auto"/>
            <w:vAlign w:val="center"/>
          </w:tcPr>
          <w:p w14:paraId="5F05B34E">
            <w:pPr>
              <w:pStyle w:val="14"/>
              <w:jc w:val="center"/>
            </w:pPr>
          </w:p>
        </w:tc>
      </w:tr>
      <w:tr w14:paraId="0AF3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pct"/>
            <w:vMerge w:val="continue"/>
            <w:vAlign w:val="center"/>
          </w:tcPr>
          <w:p w14:paraId="66923073">
            <w:pPr>
              <w:pStyle w:val="14"/>
            </w:pPr>
          </w:p>
        </w:tc>
        <w:tc>
          <w:tcPr>
            <w:tcW w:w="571" w:type="pct"/>
            <w:vMerge w:val="restart"/>
            <w:shd w:val="clear" w:color="auto" w:fill="auto"/>
            <w:vAlign w:val="center"/>
          </w:tcPr>
          <w:p w14:paraId="39852011">
            <w:pPr>
              <w:pStyle w:val="14"/>
            </w:pPr>
            <w:r>
              <w:rPr>
                <w:rFonts w:hint="eastAsia"/>
              </w:rPr>
              <w:t>人员资质部分</w:t>
            </w:r>
          </w:p>
          <w:p w14:paraId="2A9494C3">
            <w:pPr>
              <w:pStyle w:val="14"/>
            </w:pPr>
            <w:r>
              <w:rPr>
                <w:rFonts w:hint="eastAsia"/>
              </w:rPr>
              <w:t>（28分）</w:t>
            </w:r>
          </w:p>
        </w:tc>
        <w:tc>
          <w:tcPr>
            <w:tcW w:w="3253" w:type="pct"/>
            <w:shd w:val="clear" w:color="auto" w:fill="auto"/>
            <w:vAlign w:val="center"/>
          </w:tcPr>
          <w:p w14:paraId="18B21D43">
            <w:pPr>
              <w:pStyle w:val="14"/>
              <w:jc w:val="both"/>
            </w:pPr>
            <w:r>
              <w:rPr>
                <w:rFonts w:hint="eastAsia"/>
              </w:rPr>
              <w:t>项目组拟派一名具有高级测评师资质的人员作为项目经理，要求具备IT服务项目经理、国家部委颁发的信息技术相关的高级工程师（高级软件工程师资质）、省级及以上专业技术职称评审机构评审认定的信息技术专业相关工程师资格（高级工程师资质）；</w:t>
            </w:r>
          </w:p>
          <w:p w14:paraId="0A504D1A">
            <w:pPr>
              <w:pStyle w:val="14"/>
              <w:jc w:val="both"/>
            </w:pPr>
            <w:r>
              <w:rPr>
                <w:rFonts w:hint="eastAsia"/>
              </w:rPr>
              <w:t>具备一项证书得2分，最高得8分；</w:t>
            </w:r>
          </w:p>
        </w:tc>
        <w:tc>
          <w:tcPr>
            <w:tcW w:w="315" w:type="pct"/>
            <w:shd w:val="clear" w:color="auto" w:fill="auto"/>
            <w:vAlign w:val="center"/>
          </w:tcPr>
          <w:p w14:paraId="7480FA31">
            <w:pPr>
              <w:pStyle w:val="14"/>
              <w:jc w:val="center"/>
            </w:pPr>
            <w:r>
              <w:rPr>
                <w:rFonts w:hint="eastAsia"/>
              </w:rPr>
              <w:t>8</w:t>
            </w:r>
          </w:p>
        </w:tc>
        <w:tc>
          <w:tcPr>
            <w:tcW w:w="298" w:type="pct"/>
            <w:shd w:val="clear" w:color="auto" w:fill="auto"/>
            <w:vAlign w:val="center"/>
          </w:tcPr>
          <w:p w14:paraId="55FA9675">
            <w:pPr>
              <w:pStyle w:val="14"/>
              <w:jc w:val="center"/>
            </w:pPr>
          </w:p>
        </w:tc>
      </w:tr>
      <w:tr w14:paraId="756A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pct"/>
            <w:vMerge w:val="continue"/>
            <w:vAlign w:val="center"/>
          </w:tcPr>
          <w:p w14:paraId="549F656D">
            <w:pPr>
              <w:pStyle w:val="14"/>
            </w:pPr>
          </w:p>
        </w:tc>
        <w:tc>
          <w:tcPr>
            <w:tcW w:w="571" w:type="pct"/>
            <w:vMerge w:val="continue"/>
            <w:vAlign w:val="center"/>
          </w:tcPr>
          <w:p w14:paraId="05E15369">
            <w:pPr>
              <w:pStyle w:val="14"/>
            </w:pPr>
          </w:p>
        </w:tc>
        <w:tc>
          <w:tcPr>
            <w:tcW w:w="3253" w:type="pct"/>
            <w:shd w:val="clear" w:color="auto" w:fill="auto"/>
            <w:vAlign w:val="center"/>
          </w:tcPr>
          <w:p w14:paraId="75541595">
            <w:pPr>
              <w:pStyle w:val="14"/>
              <w:jc w:val="both"/>
            </w:pPr>
            <w:r>
              <w:rPr>
                <w:rFonts w:hint="eastAsia"/>
              </w:rPr>
              <w:t>项目组拟派一名具有中级测评师资质的人员作为项目副经理，要求具备IT服务工程师、省级及以上专业技术职称评审机构评审认定的信息技术专业相关工程师资格；具备一项证书得2分，最高得6分；</w:t>
            </w:r>
          </w:p>
        </w:tc>
        <w:tc>
          <w:tcPr>
            <w:tcW w:w="315" w:type="pct"/>
            <w:shd w:val="clear" w:color="auto" w:fill="auto"/>
            <w:vAlign w:val="center"/>
          </w:tcPr>
          <w:p w14:paraId="6D34F187">
            <w:pPr>
              <w:pStyle w:val="14"/>
              <w:jc w:val="center"/>
            </w:pPr>
            <w:r>
              <w:rPr>
                <w:rFonts w:hint="eastAsia"/>
              </w:rPr>
              <w:t>6</w:t>
            </w:r>
          </w:p>
        </w:tc>
        <w:tc>
          <w:tcPr>
            <w:tcW w:w="298" w:type="pct"/>
            <w:shd w:val="clear" w:color="auto" w:fill="auto"/>
            <w:vAlign w:val="center"/>
          </w:tcPr>
          <w:p w14:paraId="26FF90A4">
            <w:pPr>
              <w:pStyle w:val="14"/>
              <w:jc w:val="center"/>
            </w:pPr>
          </w:p>
        </w:tc>
      </w:tr>
      <w:tr w14:paraId="72EC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pct"/>
            <w:vMerge w:val="continue"/>
            <w:vAlign w:val="center"/>
          </w:tcPr>
          <w:p w14:paraId="5C521CA7">
            <w:pPr>
              <w:pStyle w:val="14"/>
            </w:pPr>
          </w:p>
        </w:tc>
        <w:tc>
          <w:tcPr>
            <w:tcW w:w="571" w:type="pct"/>
            <w:vMerge w:val="continue"/>
            <w:vAlign w:val="center"/>
          </w:tcPr>
          <w:p w14:paraId="6EDB8ABC">
            <w:pPr>
              <w:pStyle w:val="14"/>
            </w:pPr>
          </w:p>
        </w:tc>
        <w:tc>
          <w:tcPr>
            <w:tcW w:w="3253" w:type="pct"/>
            <w:shd w:val="clear" w:color="auto" w:fill="auto"/>
            <w:vAlign w:val="center"/>
          </w:tcPr>
          <w:p w14:paraId="4BBCB8D2">
            <w:pPr>
              <w:pStyle w:val="14"/>
              <w:jc w:val="both"/>
            </w:pPr>
            <w:r>
              <w:rPr>
                <w:rFonts w:hint="eastAsia"/>
              </w:rPr>
              <w:t>项目组内设置一名技术负责人，保证测评过程中被测系统网络正常运行，需要该负责人具备中级测评师或以上资质，同时具备信息安全保障人员认证证书（CISAW-安全运维方向），注册信息安全工程师（CISP)、省级及以上专业技术职称评审机构评审认定的信息技术专业相关工程师资格；</w:t>
            </w:r>
          </w:p>
          <w:p w14:paraId="64EBDDC3">
            <w:pPr>
              <w:pStyle w:val="14"/>
              <w:jc w:val="both"/>
            </w:pPr>
            <w:r>
              <w:rPr>
                <w:rFonts w:hint="eastAsia"/>
              </w:rPr>
              <w:t>由于等级测评工作对密码技术有明确要求，需要该负责人具备密码测评相关专业技能，要求该负责人至少具备商用密码应用安全性评估人员测评能力考核合格证书；</w:t>
            </w:r>
          </w:p>
          <w:p w14:paraId="161799EE">
            <w:pPr>
              <w:pStyle w:val="14"/>
              <w:jc w:val="both"/>
            </w:pPr>
            <w:r>
              <w:rPr>
                <w:rFonts w:hint="eastAsia"/>
              </w:rPr>
              <w:t>具备一项证书得1分，最高得5分；</w:t>
            </w:r>
          </w:p>
        </w:tc>
        <w:tc>
          <w:tcPr>
            <w:tcW w:w="315" w:type="pct"/>
            <w:shd w:val="clear" w:color="auto" w:fill="auto"/>
            <w:vAlign w:val="center"/>
          </w:tcPr>
          <w:p w14:paraId="3C5C9DCA">
            <w:pPr>
              <w:pStyle w:val="14"/>
              <w:jc w:val="center"/>
            </w:pPr>
            <w:r>
              <w:rPr>
                <w:rFonts w:hint="eastAsia"/>
              </w:rPr>
              <w:t>5</w:t>
            </w:r>
          </w:p>
        </w:tc>
        <w:tc>
          <w:tcPr>
            <w:tcW w:w="298" w:type="pct"/>
            <w:shd w:val="clear" w:color="auto" w:fill="auto"/>
            <w:vAlign w:val="center"/>
          </w:tcPr>
          <w:p w14:paraId="4AA313F0">
            <w:pPr>
              <w:pStyle w:val="14"/>
              <w:jc w:val="center"/>
            </w:pPr>
          </w:p>
        </w:tc>
      </w:tr>
      <w:tr w14:paraId="1FEE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pct"/>
            <w:vMerge w:val="continue"/>
            <w:vAlign w:val="center"/>
          </w:tcPr>
          <w:p w14:paraId="1A9F9139">
            <w:pPr>
              <w:pStyle w:val="14"/>
            </w:pPr>
          </w:p>
        </w:tc>
        <w:tc>
          <w:tcPr>
            <w:tcW w:w="571" w:type="pct"/>
            <w:vMerge w:val="continue"/>
            <w:vAlign w:val="center"/>
          </w:tcPr>
          <w:p w14:paraId="09A91978">
            <w:pPr>
              <w:pStyle w:val="14"/>
            </w:pPr>
          </w:p>
        </w:tc>
        <w:tc>
          <w:tcPr>
            <w:tcW w:w="3253" w:type="pct"/>
            <w:shd w:val="clear" w:color="auto" w:fill="auto"/>
            <w:vAlign w:val="center"/>
          </w:tcPr>
          <w:p w14:paraId="4827516C">
            <w:pPr>
              <w:pStyle w:val="14"/>
              <w:jc w:val="both"/>
            </w:pPr>
            <w:r>
              <w:rPr>
                <w:rFonts w:hint="eastAsia"/>
              </w:rPr>
              <w:t>等级保护测评工作要求测评单位建立网络安全应急处置机制，防范测评风险，需要项目组内设置一名应急负责人，要求该负责人至少具备中级测评师或以上资质、信息安全保障人员认证证书（CISAW-安全应急方向）、注册信息安全工程师（CISP)、省级及以上专业技术职称评审机构评审认定的信息技术专业相关工程师资格、商用密码应用安全性评估人员测评能力考核合格证书；</w:t>
            </w:r>
          </w:p>
          <w:p w14:paraId="51EA3ACA">
            <w:pPr>
              <w:pStyle w:val="14"/>
              <w:jc w:val="both"/>
            </w:pPr>
            <w:r>
              <w:rPr>
                <w:rFonts w:hint="eastAsia"/>
              </w:rPr>
              <w:t>具备一项证书得1分，最高得5分；</w:t>
            </w:r>
          </w:p>
        </w:tc>
        <w:tc>
          <w:tcPr>
            <w:tcW w:w="315" w:type="pct"/>
            <w:shd w:val="clear" w:color="auto" w:fill="auto"/>
            <w:vAlign w:val="center"/>
          </w:tcPr>
          <w:p w14:paraId="4098539C">
            <w:pPr>
              <w:pStyle w:val="14"/>
              <w:jc w:val="center"/>
            </w:pPr>
            <w:r>
              <w:rPr>
                <w:rFonts w:hint="eastAsia"/>
              </w:rPr>
              <w:t>5</w:t>
            </w:r>
          </w:p>
        </w:tc>
        <w:tc>
          <w:tcPr>
            <w:tcW w:w="298" w:type="pct"/>
            <w:shd w:val="clear" w:color="auto" w:fill="auto"/>
            <w:vAlign w:val="center"/>
          </w:tcPr>
          <w:p w14:paraId="63ED83D6">
            <w:pPr>
              <w:pStyle w:val="14"/>
              <w:jc w:val="center"/>
            </w:pPr>
          </w:p>
        </w:tc>
      </w:tr>
      <w:tr w14:paraId="2EEF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pct"/>
            <w:vMerge w:val="continue"/>
            <w:vAlign w:val="center"/>
          </w:tcPr>
          <w:p w14:paraId="13E08AD8">
            <w:pPr>
              <w:pStyle w:val="14"/>
            </w:pPr>
          </w:p>
        </w:tc>
        <w:tc>
          <w:tcPr>
            <w:tcW w:w="571" w:type="pct"/>
            <w:vMerge w:val="continue"/>
            <w:vAlign w:val="center"/>
          </w:tcPr>
          <w:p w14:paraId="658A1D14">
            <w:pPr>
              <w:pStyle w:val="14"/>
            </w:pPr>
          </w:p>
        </w:tc>
        <w:tc>
          <w:tcPr>
            <w:tcW w:w="3253" w:type="pct"/>
            <w:shd w:val="clear" w:color="auto" w:fill="auto"/>
            <w:vAlign w:val="center"/>
          </w:tcPr>
          <w:p w14:paraId="59BDEC59">
            <w:pPr>
              <w:pStyle w:val="14"/>
              <w:jc w:val="both"/>
            </w:pPr>
            <w:r>
              <w:rPr>
                <w:rFonts w:hint="eastAsia"/>
              </w:rPr>
              <w:t>根据《网络安全等级保护测评过程指南》要求，现场测评工作需要进行渗透测试，该项目需要设置一名渗透测试负责人，要求该负责人至少具备测评师资质、注册渗透测试工程师证书（CISP-PTE）、信息安全保障人员认证证书（CISAW-安全运维方向）、商用密码应用安全性评估人员测评能力考核合格证书；</w:t>
            </w:r>
          </w:p>
          <w:p w14:paraId="18A08ACD">
            <w:pPr>
              <w:pStyle w:val="14"/>
              <w:jc w:val="both"/>
            </w:pPr>
            <w:r>
              <w:rPr>
                <w:rFonts w:hint="eastAsia"/>
              </w:rPr>
              <w:t>具备一项证书得1分，最高得4分。</w:t>
            </w:r>
          </w:p>
        </w:tc>
        <w:tc>
          <w:tcPr>
            <w:tcW w:w="315" w:type="pct"/>
            <w:shd w:val="clear" w:color="auto" w:fill="auto"/>
            <w:vAlign w:val="center"/>
          </w:tcPr>
          <w:p w14:paraId="621E6F44">
            <w:pPr>
              <w:pStyle w:val="14"/>
              <w:jc w:val="center"/>
            </w:pPr>
            <w:r>
              <w:rPr>
                <w:rFonts w:hint="eastAsia"/>
              </w:rPr>
              <w:t>4</w:t>
            </w:r>
          </w:p>
        </w:tc>
        <w:tc>
          <w:tcPr>
            <w:tcW w:w="298" w:type="pct"/>
            <w:shd w:val="clear" w:color="auto" w:fill="auto"/>
            <w:vAlign w:val="center"/>
          </w:tcPr>
          <w:p w14:paraId="6DCA196E">
            <w:pPr>
              <w:pStyle w:val="14"/>
              <w:jc w:val="center"/>
            </w:pPr>
          </w:p>
        </w:tc>
      </w:tr>
      <w:tr w14:paraId="52CB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pct"/>
            <w:vMerge w:val="continue"/>
            <w:vAlign w:val="center"/>
          </w:tcPr>
          <w:p w14:paraId="70E744E4">
            <w:pPr>
              <w:pStyle w:val="14"/>
            </w:pPr>
          </w:p>
        </w:tc>
        <w:tc>
          <w:tcPr>
            <w:tcW w:w="571" w:type="pct"/>
            <w:vMerge w:val="continue"/>
            <w:vAlign w:val="center"/>
          </w:tcPr>
          <w:p w14:paraId="298ABB8A">
            <w:pPr>
              <w:pStyle w:val="14"/>
            </w:pPr>
          </w:p>
        </w:tc>
        <w:tc>
          <w:tcPr>
            <w:tcW w:w="3253" w:type="pct"/>
            <w:shd w:val="clear" w:color="auto" w:fill="auto"/>
            <w:vAlign w:val="center"/>
          </w:tcPr>
          <w:p w14:paraId="283A3987">
            <w:pPr>
              <w:pStyle w:val="14"/>
              <w:jc w:val="both"/>
            </w:pPr>
            <w:r>
              <w:rPr>
                <w:rFonts w:hint="eastAsia"/>
              </w:rPr>
              <w:t>备注：项目组成员不重复计分，提供人员证书扫描件以及以上人员半年内在社保系统打印的本单位人员缴费明细。</w:t>
            </w:r>
          </w:p>
        </w:tc>
        <w:tc>
          <w:tcPr>
            <w:tcW w:w="315" w:type="pct"/>
            <w:shd w:val="clear" w:color="auto" w:fill="auto"/>
            <w:vAlign w:val="center"/>
          </w:tcPr>
          <w:p w14:paraId="49671C3D">
            <w:pPr>
              <w:pStyle w:val="14"/>
              <w:jc w:val="center"/>
            </w:pPr>
            <w:r>
              <w:rPr>
                <w:rFonts w:hint="eastAsia"/>
              </w:rPr>
              <w:t>-</w:t>
            </w:r>
          </w:p>
        </w:tc>
        <w:tc>
          <w:tcPr>
            <w:tcW w:w="298" w:type="pct"/>
            <w:shd w:val="clear" w:color="auto" w:fill="auto"/>
            <w:vAlign w:val="center"/>
          </w:tcPr>
          <w:p w14:paraId="75BDDBD4">
            <w:pPr>
              <w:pStyle w:val="14"/>
              <w:jc w:val="center"/>
            </w:pPr>
          </w:p>
        </w:tc>
      </w:tr>
      <w:tr w14:paraId="58AD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pct"/>
            <w:vAlign w:val="center"/>
          </w:tcPr>
          <w:p w14:paraId="2892C922">
            <w:pPr>
              <w:pStyle w:val="14"/>
            </w:pPr>
          </w:p>
        </w:tc>
        <w:tc>
          <w:tcPr>
            <w:tcW w:w="571" w:type="pct"/>
            <w:vAlign w:val="center"/>
          </w:tcPr>
          <w:p w14:paraId="35D46601">
            <w:pPr>
              <w:pStyle w:val="14"/>
              <w:jc w:val="center"/>
            </w:pPr>
            <w:r>
              <w:rPr>
                <w:rFonts w:hint="eastAsia"/>
              </w:rPr>
              <w:t>得分</w:t>
            </w:r>
          </w:p>
        </w:tc>
        <w:tc>
          <w:tcPr>
            <w:tcW w:w="3253" w:type="pct"/>
            <w:shd w:val="clear" w:color="auto" w:fill="auto"/>
            <w:vAlign w:val="center"/>
          </w:tcPr>
          <w:p w14:paraId="2B377D70">
            <w:pPr>
              <w:pStyle w:val="14"/>
            </w:pPr>
          </w:p>
        </w:tc>
        <w:tc>
          <w:tcPr>
            <w:tcW w:w="315" w:type="pct"/>
            <w:shd w:val="clear" w:color="auto" w:fill="auto"/>
            <w:vAlign w:val="center"/>
          </w:tcPr>
          <w:p w14:paraId="33593F28">
            <w:pPr>
              <w:pStyle w:val="14"/>
              <w:jc w:val="center"/>
            </w:pPr>
            <w:r>
              <w:rPr>
                <w:rFonts w:hint="eastAsia"/>
              </w:rPr>
              <w:t>100</w:t>
            </w:r>
          </w:p>
        </w:tc>
        <w:tc>
          <w:tcPr>
            <w:tcW w:w="298" w:type="pct"/>
            <w:shd w:val="clear" w:color="auto" w:fill="auto"/>
            <w:vAlign w:val="center"/>
          </w:tcPr>
          <w:p w14:paraId="6B626FAF">
            <w:pPr>
              <w:pStyle w:val="14"/>
              <w:jc w:val="center"/>
            </w:pPr>
          </w:p>
        </w:tc>
      </w:tr>
    </w:tbl>
    <w:p w14:paraId="02232948">
      <w:pPr>
        <w:spacing w:line="360" w:lineRule="auto"/>
        <w:ind w:firstLine="420"/>
        <w:rPr>
          <w:rFonts w:ascii="仿宋" w:hAnsi="仿宋" w:eastAsia="仿宋" w:cs="仿宋"/>
          <w:color w:val="auto"/>
          <w:lang w:eastAsia="zh-CN"/>
        </w:rPr>
      </w:pPr>
    </w:p>
    <w:sectPr>
      <w:footerReference r:id="rId3" w:type="default"/>
      <w:pgSz w:w="11906" w:h="16839"/>
      <w:pgMar w:top="1429" w:right="1304" w:bottom="1429" w:left="1304" w:header="0" w:footer="62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红头文件字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F0D17">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B449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AB449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MDEzOTQ5OTAyZTZkOGNkNWJmNGM1MzIxNjA2NjcifQ=="/>
  </w:docVars>
  <w:rsids>
    <w:rsidRoot w:val="2D7D0012"/>
    <w:rsid w:val="00031916"/>
    <w:rsid w:val="000D6515"/>
    <w:rsid w:val="002F651A"/>
    <w:rsid w:val="00323BC7"/>
    <w:rsid w:val="003B0407"/>
    <w:rsid w:val="0048045B"/>
    <w:rsid w:val="004B08C6"/>
    <w:rsid w:val="0055351F"/>
    <w:rsid w:val="0065310C"/>
    <w:rsid w:val="00767FCD"/>
    <w:rsid w:val="00934E4A"/>
    <w:rsid w:val="009B4185"/>
    <w:rsid w:val="00AF0BC3"/>
    <w:rsid w:val="00B27B43"/>
    <w:rsid w:val="00C53A4A"/>
    <w:rsid w:val="00D41D9D"/>
    <w:rsid w:val="00D80041"/>
    <w:rsid w:val="00EB163E"/>
    <w:rsid w:val="0571474D"/>
    <w:rsid w:val="06471957"/>
    <w:rsid w:val="09094F8F"/>
    <w:rsid w:val="09495FF7"/>
    <w:rsid w:val="0A304913"/>
    <w:rsid w:val="0B3260C2"/>
    <w:rsid w:val="0B763C13"/>
    <w:rsid w:val="0B9779E4"/>
    <w:rsid w:val="0C1517D9"/>
    <w:rsid w:val="0C3312CB"/>
    <w:rsid w:val="0CB53BAB"/>
    <w:rsid w:val="0D0C0A9B"/>
    <w:rsid w:val="0D5E1538"/>
    <w:rsid w:val="10EA486B"/>
    <w:rsid w:val="114A6D10"/>
    <w:rsid w:val="13B86A05"/>
    <w:rsid w:val="14217471"/>
    <w:rsid w:val="148C4194"/>
    <w:rsid w:val="154F1FEB"/>
    <w:rsid w:val="15ED4B7D"/>
    <w:rsid w:val="16A66AF6"/>
    <w:rsid w:val="17BB2139"/>
    <w:rsid w:val="19241D65"/>
    <w:rsid w:val="1B5A368A"/>
    <w:rsid w:val="1B6B1ABB"/>
    <w:rsid w:val="1CCD409D"/>
    <w:rsid w:val="1EF05C48"/>
    <w:rsid w:val="1F0961FC"/>
    <w:rsid w:val="1F761AC1"/>
    <w:rsid w:val="1F98693F"/>
    <w:rsid w:val="23752188"/>
    <w:rsid w:val="24C35D90"/>
    <w:rsid w:val="24C63964"/>
    <w:rsid w:val="24DA7FFE"/>
    <w:rsid w:val="26AF0D6E"/>
    <w:rsid w:val="287E732F"/>
    <w:rsid w:val="28AA5D72"/>
    <w:rsid w:val="29DE7B18"/>
    <w:rsid w:val="2A0D1487"/>
    <w:rsid w:val="2AAF61D2"/>
    <w:rsid w:val="2B2C7676"/>
    <w:rsid w:val="2CAE3068"/>
    <w:rsid w:val="2D7D0012"/>
    <w:rsid w:val="2E0866FA"/>
    <w:rsid w:val="307150BD"/>
    <w:rsid w:val="314F15D9"/>
    <w:rsid w:val="31BB1B78"/>
    <w:rsid w:val="31F74AD5"/>
    <w:rsid w:val="33D41438"/>
    <w:rsid w:val="34200ED2"/>
    <w:rsid w:val="3430369A"/>
    <w:rsid w:val="354F2C88"/>
    <w:rsid w:val="384E7D71"/>
    <w:rsid w:val="390C6E02"/>
    <w:rsid w:val="3B192545"/>
    <w:rsid w:val="3B8264C5"/>
    <w:rsid w:val="3BF679A4"/>
    <w:rsid w:val="3DEF33F6"/>
    <w:rsid w:val="3EA5769F"/>
    <w:rsid w:val="420B0451"/>
    <w:rsid w:val="426D28EF"/>
    <w:rsid w:val="42D97681"/>
    <w:rsid w:val="43913A8B"/>
    <w:rsid w:val="457A681E"/>
    <w:rsid w:val="45C110D2"/>
    <w:rsid w:val="46254040"/>
    <w:rsid w:val="4A34431D"/>
    <w:rsid w:val="4A3E7437"/>
    <w:rsid w:val="4B4C3308"/>
    <w:rsid w:val="4CD47DFD"/>
    <w:rsid w:val="4DB52A3E"/>
    <w:rsid w:val="4E120FCD"/>
    <w:rsid w:val="4E243AF4"/>
    <w:rsid w:val="4E2C1653"/>
    <w:rsid w:val="4E9655AE"/>
    <w:rsid w:val="5053297E"/>
    <w:rsid w:val="52AC2A3D"/>
    <w:rsid w:val="52E645BB"/>
    <w:rsid w:val="53C33513"/>
    <w:rsid w:val="54863012"/>
    <w:rsid w:val="549C6A06"/>
    <w:rsid w:val="56221EF3"/>
    <w:rsid w:val="56A45338"/>
    <w:rsid w:val="5722129A"/>
    <w:rsid w:val="57B4570C"/>
    <w:rsid w:val="58F649BB"/>
    <w:rsid w:val="591636BD"/>
    <w:rsid w:val="5B4129FB"/>
    <w:rsid w:val="5C697C56"/>
    <w:rsid w:val="5CB534FD"/>
    <w:rsid w:val="5D0212DB"/>
    <w:rsid w:val="5E0D4CEE"/>
    <w:rsid w:val="5EC94D92"/>
    <w:rsid w:val="5ECD7C5C"/>
    <w:rsid w:val="5F8B5AE8"/>
    <w:rsid w:val="5F9C2A87"/>
    <w:rsid w:val="616E4A1A"/>
    <w:rsid w:val="62AF0656"/>
    <w:rsid w:val="650C1466"/>
    <w:rsid w:val="65747E45"/>
    <w:rsid w:val="65F82E38"/>
    <w:rsid w:val="661E2300"/>
    <w:rsid w:val="66B63995"/>
    <w:rsid w:val="67D04DC6"/>
    <w:rsid w:val="684952AA"/>
    <w:rsid w:val="69535F11"/>
    <w:rsid w:val="6BB05BE1"/>
    <w:rsid w:val="6C613042"/>
    <w:rsid w:val="6DCB402F"/>
    <w:rsid w:val="6EB44681"/>
    <w:rsid w:val="6F402911"/>
    <w:rsid w:val="6F594932"/>
    <w:rsid w:val="6FB0691C"/>
    <w:rsid w:val="6FF24465"/>
    <w:rsid w:val="700B0D73"/>
    <w:rsid w:val="7041230A"/>
    <w:rsid w:val="70F91236"/>
    <w:rsid w:val="71712A4E"/>
    <w:rsid w:val="7186239E"/>
    <w:rsid w:val="71B1033F"/>
    <w:rsid w:val="73761814"/>
    <w:rsid w:val="75846663"/>
    <w:rsid w:val="7588687A"/>
    <w:rsid w:val="75CF6396"/>
    <w:rsid w:val="76165D02"/>
    <w:rsid w:val="761C62D5"/>
    <w:rsid w:val="768E75D0"/>
    <w:rsid w:val="78A52129"/>
    <w:rsid w:val="7BE47FAE"/>
    <w:rsid w:val="7D4C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3"/>
    <w:qFormat/>
    <w:uiPriority w:val="0"/>
    <w:pPr>
      <w:keepNext/>
      <w:keepLines/>
      <w:spacing w:before="120" w:beforeLines="50" w:after="120" w:afterLines="50" w:line="360" w:lineRule="auto"/>
      <w:outlineLvl w:val="0"/>
    </w:pPr>
    <w:rPr>
      <w:rFonts w:eastAsia="方正仿宋_GBK"/>
      <w:b/>
      <w:bCs/>
      <w:kern w:val="44"/>
      <w:sz w:val="32"/>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footer"/>
    <w:basedOn w:val="1"/>
    <w:link w:val="12"/>
    <w:qFormat/>
    <w:uiPriority w:val="99"/>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0"/>
      <w:szCs w:val="20"/>
    </w:rPr>
  </w:style>
  <w:style w:type="character" w:customStyle="1" w:styleId="12">
    <w:name w:val="页脚 字符"/>
    <w:basedOn w:val="8"/>
    <w:link w:val="4"/>
    <w:qFormat/>
    <w:uiPriority w:val="99"/>
    <w:rPr>
      <w:rFonts w:ascii="Arial" w:hAnsi="Arial" w:eastAsia="Arial" w:cs="Arial"/>
      <w:snapToGrid w:val="0"/>
      <w:color w:val="000000"/>
      <w:sz w:val="18"/>
      <w:szCs w:val="21"/>
      <w:lang w:eastAsia="en-US"/>
    </w:rPr>
  </w:style>
  <w:style w:type="character" w:customStyle="1" w:styleId="13">
    <w:name w:val="标题 1 字符"/>
    <w:basedOn w:val="8"/>
    <w:link w:val="2"/>
    <w:qFormat/>
    <w:uiPriority w:val="0"/>
    <w:rPr>
      <w:rFonts w:ascii="Arial" w:hAnsi="Arial" w:eastAsia="方正仿宋_GBK" w:cs="Arial"/>
      <w:b/>
      <w:bCs/>
      <w:snapToGrid w:val="0"/>
      <w:color w:val="000000"/>
      <w:kern w:val="44"/>
      <w:sz w:val="32"/>
      <w:szCs w:val="44"/>
      <w:lang w:eastAsia="en-US"/>
    </w:rPr>
  </w:style>
  <w:style w:type="paragraph" w:customStyle="1" w:styleId="14">
    <w:name w:val="表格"/>
    <w:basedOn w:val="1"/>
    <w:qFormat/>
    <w:uiPriority w:val="0"/>
    <w:pPr>
      <w:spacing w:line="360" w:lineRule="auto"/>
    </w:pPr>
    <w:rPr>
      <w:rFonts w:ascii="仿宋" w:hAnsi="仿宋" w:eastAsia="仿宋" w:cs="仿宋"/>
      <w:color w:val="auto"/>
      <w:szCs w:val="24"/>
      <w:lang w:eastAsia="zh-CN"/>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8A08F-938D-4C89-86D8-2095F63FB39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3114</Words>
  <Characters>3307</Characters>
  <Lines>57</Lines>
  <Paragraphs>16</Paragraphs>
  <TotalTime>0</TotalTime>
  <ScaleCrop>false</ScaleCrop>
  <LinksUpToDate>false</LinksUpToDate>
  <CharactersWithSpaces>3320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2024-06-28T06:54:00Z</dcterms:created>
  <dc:creator>120223107qqcom</dc:creator>
  <cp:lastModifiedBy>^O^</cp:lastModifiedBy>
  <dcterms:modified xsi:type="dcterms:W3CDTF">2024-07-11T02:41:45Z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D60FBDDD3EDF4B729711F15129FC6934_11</vt:lpwstr>
  </property>
</Properties>
</file>