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5" w:lineRule="auto"/>
        <w:ind w:left="268" w:firstLine="871"/>
        <w:jc w:val="center"/>
        <w:rPr>
          <w:rFonts w:ascii="仿宋" w:hAnsi="仿宋" w:eastAsia="仿宋" w:cs="仿宋"/>
          <w:b/>
          <w:bCs/>
          <w:color w:val="auto"/>
          <w:spacing w:val="2"/>
          <w:sz w:val="43"/>
          <w:szCs w:val="43"/>
          <w:u w:val="single"/>
          <w:lang w:eastAsia="zh-CN"/>
        </w:rPr>
      </w:pPr>
    </w:p>
    <w:p>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873"/>
        <w:jc w:val="center"/>
        <w:textAlignment w:val="baseline"/>
        <w:rPr>
          <w:rFonts w:ascii="仿宋" w:hAnsi="仿宋" w:eastAsia="仿宋" w:cs="仿宋"/>
          <w:b/>
          <w:bCs/>
          <w:color w:val="auto"/>
          <w:spacing w:val="2"/>
          <w:sz w:val="43"/>
          <w:szCs w:val="43"/>
          <w:u w:val="single"/>
          <w:lang w:eastAsia="zh-CN"/>
        </w:rPr>
      </w:pPr>
    </w:p>
    <w:p>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0"/>
        <w:jc w:val="center"/>
        <w:textAlignment w:val="baseline"/>
        <w:rPr>
          <w:rFonts w:hint="eastAsia" w:ascii="红头文件字体" w:hAnsi="红头文件字体" w:eastAsia="红头文件字体" w:cs="红头文件字体"/>
          <w:b/>
          <w:bCs/>
          <w:color w:val="auto"/>
          <w:spacing w:val="2"/>
          <w:sz w:val="44"/>
          <w:szCs w:val="44"/>
          <w:u w:val="none"/>
          <w:lang w:val="en-US" w:eastAsia="zh-CN"/>
        </w:rPr>
      </w:pPr>
      <w:r>
        <w:rPr>
          <w:rFonts w:hint="eastAsia" w:ascii="红头文件字体" w:hAnsi="红头文件字体" w:eastAsia="红头文件字体" w:cs="红头文件字体"/>
          <w:b/>
          <w:bCs/>
          <w:color w:val="auto"/>
          <w:spacing w:val="2"/>
          <w:sz w:val="44"/>
          <w:szCs w:val="44"/>
          <w:u w:val="none"/>
          <w:lang w:eastAsia="zh-CN"/>
        </w:rPr>
        <w:t>毕节工业职业技术</w:t>
      </w:r>
      <w:r>
        <w:rPr>
          <w:rFonts w:hint="eastAsia" w:ascii="红头文件字体" w:hAnsi="红头文件字体" w:eastAsia="红头文件字体" w:cs="红头文件字体"/>
          <w:b/>
          <w:bCs/>
          <w:color w:val="auto"/>
          <w:spacing w:val="2"/>
          <w:sz w:val="44"/>
          <w:szCs w:val="44"/>
          <w:u w:val="none"/>
          <w:lang w:val="en-US" w:eastAsia="zh-CN"/>
        </w:rPr>
        <w:t>学院</w:t>
      </w:r>
    </w:p>
    <w:p>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0"/>
        <w:jc w:val="center"/>
        <w:textAlignment w:val="baseline"/>
        <w:rPr>
          <w:rFonts w:hint="eastAsia" w:ascii="红头文件字体" w:hAnsi="红头文件字体" w:eastAsia="红头文件字体" w:cs="红头文件字体"/>
          <w:b/>
          <w:bCs/>
          <w:color w:val="auto"/>
          <w:spacing w:val="2"/>
          <w:sz w:val="44"/>
          <w:szCs w:val="44"/>
          <w:u w:val="none"/>
          <w:lang w:eastAsia="zh-CN"/>
        </w:rPr>
      </w:pPr>
      <w:r>
        <w:rPr>
          <w:rFonts w:hint="eastAsia" w:ascii="红头文件字体" w:hAnsi="红头文件字体" w:eastAsia="红头文件字体" w:cs="红头文件字体"/>
          <w:b/>
          <w:bCs/>
          <w:color w:val="auto"/>
          <w:spacing w:val="2"/>
          <w:sz w:val="44"/>
          <w:szCs w:val="44"/>
          <w:u w:val="none"/>
          <w:lang w:eastAsia="zh-CN"/>
        </w:rPr>
        <w:t>官网云托管项目招标</w:t>
      </w:r>
      <w:r>
        <w:rPr>
          <w:rFonts w:hint="eastAsia" w:ascii="红头文件字体" w:hAnsi="红头文件字体" w:eastAsia="红头文件字体" w:cs="红头文件字体"/>
          <w:b/>
          <w:bCs/>
          <w:color w:val="auto"/>
          <w:spacing w:val="2"/>
          <w:sz w:val="44"/>
          <w:szCs w:val="44"/>
          <w:u w:val="none"/>
          <w:lang w:val="en-US" w:eastAsia="zh-CN"/>
        </w:rPr>
        <w:t>方案</w:t>
      </w: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spacing w:before="101" w:line="225" w:lineRule="auto"/>
        <w:rPr>
          <w:rFonts w:ascii="仿宋" w:hAnsi="仿宋" w:eastAsia="仿宋" w:cs="仿宋"/>
          <w:b/>
          <w:bCs/>
          <w:color w:val="auto"/>
          <w:spacing w:val="2"/>
          <w:sz w:val="43"/>
          <w:szCs w:val="43"/>
          <w:u w:val="single"/>
          <w:lang w:eastAsia="zh-CN"/>
        </w:rPr>
      </w:pPr>
    </w:p>
    <w:p>
      <w:pPr>
        <w:spacing w:before="101" w:line="225" w:lineRule="auto"/>
        <w:ind w:left="268" w:firstLine="871"/>
        <w:rPr>
          <w:rFonts w:ascii="仿宋" w:hAnsi="仿宋" w:eastAsia="仿宋" w:cs="仿宋"/>
          <w:b/>
          <w:bCs/>
          <w:color w:val="auto"/>
          <w:spacing w:val="2"/>
          <w:sz w:val="43"/>
          <w:szCs w:val="43"/>
          <w:u w:val="single"/>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pacing w:val="2"/>
          <w:sz w:val="32"/>
          <w:szCs w:val="32"/>
          <w:u w:val="single"/>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pacing w:val="2"/>
          <w:sz w:val="32"/>
          <w:szCs w:val="32"/>
          <w:u w:val="single"/>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2024年</w:t>
      </w:r>
      <w:r>
        <w:rPr>
          <w:rFonts w:hint="eastAsia" w:ascii="仿宋_GB2312" w:hAnsi="仿宋_GB2312" w:eastAsia="仿宋_GB2312" w:cs="仿宋_GB2312"/>
          <w:color w:val="auto"/>
          <w:spacing w:val="2"/>
          <w:sz w:val="32"/>
          <w:szCs w:val="32"/>
          <w:lang w:val="en-US" w:eastAsia="zh-CN"/>
        </w:rPr>
        <w:t>7</w:t>
      </w:r>
      <w:r>
        <w:rPr>
          <w:rFonts w:hint="eastAsia" w:ascii="仿宋_GB2312" w:hAnsi="仿宋_GB2312" w:eastAsia="仿宋_GB2312" w:cs="仿宋_GB2312"/>
          <w:color w:val="auto"/>
          <w:spacing w:val="2"/>
          <w:sz w:val="32"/>
          <w:szCs w:val="32"/>
          <w:lang w:eastAsia="zh-CN"/>
        </w:rPr>
        <w:t>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z w:val="32"/>
          <w:szCs w:val="32"/>
          <w:lang w:eastAsia="zh-CN"/>
        </w:rPr>
        <w:sectPr>
          <w:pgSz w:w="11906" w:h="16839"/>
          <w:pgMar w:top="1440" w:right="1800" w:bottom="1440" w:left="1800" w:header="0" w:footer="0" w:gutter="0"/>
          <w:cols w:space="720" w:num="1"/>
        </w:sectPr>
      </w:pPr>
      <w:r>
        <w:rPr>
          <w:rFonts w:hint="eastAsia" w:ascii="仿宋_GB2312" w:hAnsi="仿宋_GB2312" w:eastAsia="仿宋_GB2312" w:cs="仿宋_GB2312"/>
          <w:b/>
          <w:bCs/>
          <w:color w:val="auto"/>
          <w:sz w:val="32"/>
          <w:szCs w:val="32"/>
          <w:lang w:eastAsia="zh-CN"/>
        </w:rPr>
        <w:br w:type="page"/>
      </w:r>
    </w:p>
    <w:p>
      <w:pPr>
        <w:pStyle w:val="6"/>
        <w:pageBreakBefore w:val="0"/>
        <w:widowControl/>
        <w:wordWrap/>
        <w:overflowPunct/>
        <w:topLinePunct w:val="0"/>
        <w:autoSpaceDE w:val="0"/>
        <w:autoSpaceDN w:val="0"/>
        <w:bidi w:val="0"/>
        <w:adjustRightInd w:val="0"/>
        <w:snapToGrid w:val="0"/>
        <w:spacing w:before="0" w:beforeLines="0" w:after="0" w:afterLines="0"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一、项目名称</w:t>
      </w:r>
    </w:p>
    <w:p>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毕节工业职业技术学院</w:t>
      </w:r>
      <w:r>
        <w:rPr>
          <w:rFonts w:hint="eastAsia" w:ascii="仿宋_GB2312" w:hAnsi="仿宋_GB2312" w:eastAsia="仿宋_GB2312" w:cs="仿宋_GB2312"/>
          <w:color w:val="auto"/>
          <w:sz w:val="32"/>
          <w:szCs w:val="32"/>
          <w:lang w:eastAsia="zh-CN"/>
        </w:rPr>
        <w:t>官网云托管项目</w:t>
      </w:r>
    </w:p>
    <w:p>
      <w:pPr>
        <w:pStyle w:val="2"/>
        <w:spacing w:line="316" w:lineRule="auto"/>
      </w:pPr>
    </w:p>
    <w:p>
      <w:pPr>
        <w:pStyle w:val="6"/>
        <w:pageBreakBefore w:val="0"/>
        <w:wordWrap/>
        <w:overflowPunct/>
        <w:topLinePunct w:val="0"/>
        <w:autoSpaceDE w:val="0"/>
        <w:autoSpaceDN w:val="0"/>
        <w:bidi w:val="0"/>
        <w:adjustRightInd w:val="0"/>
        <w:snapToGrid w:val="0"/>
        <w:spacing w:before="0" w:beforeLines="0" w:after="0" w:afterLines="0" w:line="360" w:lineRule="auto"/>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、服务内容及要求</w:t>
      </w:r>
    </w:p>
    <w:p>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采购内容</w:t>
      </w:r>
    </w:p>
    <w:tbl>
      <w:tblPr>
        <w:tblStyle w:val="12"/>
        <w:tblpPr w:leftFromText="180" w:rightFromText="180" w:vertAnchor="text" w:horzAnchor="page" w:tblpXSpec="center" w:tblpY="212"/>
        <w:tblOverlap w:val="never"/>
        <w:tblW w:w="7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100"/>
        <w:gridCol w:w="5446"/>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71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序号</w:t>
            </w:r>
          </w:p>
        </w:tc>
        <w:tc>
          <w:tcPr>
            <w:tcW w:w="110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服务类型</w:t>
            </w:r>
          </w:p>
        </w:tc>
        <w:tc>
          <w:tcPr>
            <w:tcW w:w="5446"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规格</w:t>
            </w:r>
          </w:p>
        </w:tc>
        <w:tc>
          <w:tcPr>
            <w:tcW w:w="69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1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10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云计算</w:t>
            </w:r>
          </w:p>
        </w:tc>
        <w:tc>
          <w:tcPr>
            <w:tcW w:w="5446"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4vCPU、16G内存、100GB系统盘、1T数据盘，国产</w:t>
            </w:r>
            <w:r>
              <w:rPr>
                <w:rFonts w:hint="eastAsia" w:ascii="仿宋_GB2312" w:hAnsi="仿宋_GB2312" w:eastAsia="仿宋_GB2312" w:cs="仿宋_GB2312"/>
                <w:spacing w:val="-1"/>
                <w:sz w:val="21"/>
                <w:szCs w:val="21"/>
              </w:rPr>
              <w:t>Linux操作系统</w:t>
            </w:r>
          </w:p>
        </w:tc>
        <w:tc>
          <w:tcPr>
            <w:tcW w:w="69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71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0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云网络</w:t>
            </w:r>
          </w:p>
        </w:tc>
        <w:tc>
          <w:tcPr>
            <w:tcW w:w="5446"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弹性公网IP:20M</w:t>
            </w:r>
          </w:p>
        </w:tc>
        <w:tc>
          <w:tcPr>
            <w:tcW w:w="69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0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云安全</w:t>
            </w:r>
          </w:p>
        </w:tc>
        <w:tc>
          <w:tcPr>
            <w:tcW w:w="5446"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lang w:val="en-US" w:eastAsia="zh-CN"/>
              </w:rPr>
              <w:t>满足网络安全</w:t>
            </w:r>
            <w:r>
              <w:rPr>
                <w:rFonts w:hint="eastAsia" w:ascii="仿宋_GB2312" w:hAnsi="仿宋_GB2312" w:eastAsia="仿宋_GB2312" w:cs="仿宋_GB2312"/>
                <w:spacing w:val="5"/>
                <w:sz w:val="21"/>
                <w:szCs w:val="21"/>
              </w:rPr>
              <w:t>二级</w:t>
            </w:r>
            <w:r>
              <w:rPr>
                <w:rFonts w:hint="eastAsia" w:ascii="仿宋_GB2312" w:hAnsi="仿宋_GB2312" w:eastAsia="仿宋_GB2312" w:cs="仿宋_GB2312"/>
                <w:spacing w:val="5"/>
                <w:sz w:val="21"/>
                <w:szCs w:val="21"/>
                <w:lang w:val="en-US" w:eastAsia="zh-CN"/>
              </w:rPr>
              <w:t>保护测评所需的全部设备</w:t>
            </w:r>
            <w:r>
              <w:rPr>
                <w:rFonts w:hint="eastAsia" w:ascii="仿宋_GB2312" w:hAnsi="仿宋_GB2312" w:eastAsia="仿宋_GB2312" w:cs="仿宋_GB2312"/>
                <w:spacing w:val="5"/>
                <w:sz w:val="21"/>
                <w:szCs w:val="21"/>
              </w:rPr>
              <w:t>(含</w:t>
            </w:r>
            <w:r>
              <w:rPr>
                <w:rFonts w:hint="eastAsia" w:ascii="仿宋_GB2312" w:hAnsi="仿宋_GB2312" w:eastAsia="仿宋_GB2312" w:cs="仿宋_GB2312"/>
                <w:spacing w:val="5"/>
                <w:sz w:val="21"/>
                <w:szCs w:val="21"/>
                <w:lang w:val="en-US" w:eastAsia="zh-CN"/>
              </w:rPr>
              <w:t>不限于防火墙、</w:t>
            </w:r>
            <w:r>
              <w:rPr>
                <w:rFonts w:hint="eastAsia" w:ascii="仿宋_GB2312" w:hAnsi="仿宋_GB2312" w:eastAsia="仿宋_GB2312" w:cs="仿宋_GB2312"/>
                <w:sz w:val="21"/>
                <w:szCs w:val="21"/>
              </w:rPr>
              <w:t>SSL</w:t>
            </w:r>
            <w:r>
              <w:rPr>
                <w:rFonts w:hint="eastAsia" w:ascii="仿宋_GB2312" w:hAnsi="仿宋_GB2312" w:eastAsia="仿宋_GB2312" w:cs="仿宋_GB2312"/>
                <w:spacing w:val="5"/>
                <w:sz w:val="21"/>
                <w:szCs w:val="21"/>
              </w:rPr>
              <w:t>证书</w:t>
            </w:r>
            <w:r>
              <w:rPr>
                <w:rFonts w:hint="eastAsia" w:ascii="仿宋_GB2312" w:hAnsi="仿宋_GB2312" w:eastAsia="仿宋_GB2312" w:cs="仿宋_GB2312"/>
                <w:spacing w:val="5"/>
                <w:sz w:val="21"/>
                <w:szCs w:val="21"/>
                <w:lang w:val="en-US" w:eastAsia="zh-CN"/>
              </w:rPr>
              <w:t>等</w:t>
            </w:r>
            <w:r>
              <w:rPr>
                <w:rFonts w:hint="eastAsia" w:ascii="仿宋_GB2312" w:hAnsi="仿宋_GB2312" w:eastAsia="仿宋_GB2312" w:cs="仿宋_GB2312"/>
                <w:spacing w:val="5"/>
                <w:sz w:val="21"/>
                <w:szCs w:val="21"/>
              </w:rPr>
              <w:t>)</w:t>
            </w:r>
          </w:p>
        </w:tc>
        <w:tc>
          <w:tcPr>
            <w:tcW w:w="699"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71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0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网站运维</w:t>
            </w:r>
          </w:p>
        </w:tc>
        <w:tc>
          <w:tcPr>
            <w:tcW w:w="5446"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包含数据迁移、备份、界面修改、故障排除等</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715"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100"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其他服务</w:t>
            </w:r>
          </w:p>
        </w:tc>
        <w:tc>
          <w:tcPr>
            <w:tcW w:w="5446" w:type="dxa"/>
            <w:vAlign w:val="center"/>
          </w:tcPr>
          <w:p>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协助学院完成网络安全等级测评、协助完成重要时间节点网络安全保障</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bl>
    <w:p>
      <w:pPr>
        <w:pageBreakBefore w:val="0"/>
        <w:widowControl/>
        <w:wordWrap/>
        <w:overflowPunct/>
        <w:topLinePunct w:val="0"/>
        <w:autoSpaceDE w:val="0"/>
        <w:autoSpaceDN w:val="0"/>
        <w:bidi w:val="0"/>
        <w:adjustRightInd w:val="0"/>
        <w:snapToGrid w:val="0"/>
        <w:spacing w:line="560" w:lineRule="exact"/>
        <w:ind w:firstLine="422" w:firstLineChars="200"/>
        <w:textAlignment w:val="baseline"/>
        <w:rPr>
          <w:rFonts w:hint="default" w:ascii="仿宋_GB2312" w:hAnsi="仿宋_GB2312" w:eastAsia="仿宋_GB2312" w:cs="仿宋_GB2312"/>
          <w:b/>
          <w:bCs/>
          <w:color w:val="FF0000"/>
          <w:sz w:val="21"/>
          <w:szCs w:val="21"/>
          <w:lang w:val="en-US" w:eastAsia="zh-CN"/>
        </w:rPr>
      </w:pPr>
      <w:r>
        <w:rPr>
          <w:rFonts w:hint="eastAsia" w:ascii="仿宋_GB2312" w:hAnsi="仿宋_GB2312" w:eastAsia="仿宋_GB2312" w:cs="仿宋_GB2312"/>
          <w:b/>
          <w:bCs/>
          <w:color w:val="FF0000"/>
          <w:sz w:val="21"/>
          <w:szCs w:val="21"/>
          <w:lang w:val="en-US" w:eastAsia="zh-CN"/>
        </w:rPr>
        <w:t>以上内容必须全部满足，验收结果以等保测评机构的报告为准。</w:t>
      </w:r>
    </w:p>
    <w:p>
      <w:pPr>
        <w:pageBreakBefore w:val="0"/>
        <w:widowControl/>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2.服务期限要求</w:t>
      </w:r>
    </w:p>
    <w:p>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官网测评通过后2年（其中测评时间不超过60日）</w:t>
      </w:r>
      <w:r>
        <w:rPr>
          <w:rFonts w:hint="eastAsia" w:ascii="仿宋_GB2312" w:hAnsi="仿宋_GB2312" w:eastAsia="仿宋_GB2312" w:cs="仿宋_GB2312"/>
          <w:color w:val="auto"/>
          <w:sz w:val="32"/>
          <w:szCs w:val="32"/>
          <w:lang w:eastAsia="zh-CN"/>
        </w:rPr>
        <w:t>。</w:t>
      </w:r>
    </w:p>
    <w:p>
      <w:pPr>
        <w:pageBreakBefore w:val="0"/>
        <w:widowControl/>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3.服务地点</w:t>
      </w:r>
    </w:p>
    <w:p>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贵州省毕节市职教城文翰路毕节工业职业技术学院。</w:t>
      </w:r>
    </w:p>
    <w:p>
      <w:pPr>
        <w:pageBreakBefore w:val="0"/>
        <w:widowControl/>
        <w:numPr>
          <w:ilvl w:val="0"/>
          <w:numId w:val="2"/>
        </w:numPr>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服务要求</w:t>
      </w:r>
    </w:p>
    <w:p>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提供网站安全保障服务、网站运维；安排人员协助学院做好值班时技术支撑。</w:t>
      </w:r>
    </w:p>
    <w:p>
      <w:pPr>
        <w:pStyle w:val="6"/>
        <w:pageBreakBefore w:val="0"/>
        <w:widowControl/>
        <w:wordWrap/>
        <w:overflowPunct/>
        <w:topLinePunct w:val="0"/>
        <w:autoSpaceDE w:val="0"/>
        <w:autoSpaceDN w:val="0"/>
        <w:bidi w:val="0"/>
        <w:adjustRightInd w:val="0"/>
        <w:snapToGrid w:val="0"/>
        <w:spacing w:line="560" w:lineRule="exact"/>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、评标方法</w:t>
      </w:r>
    </w:p>
    <w:p>
      <w:pPr>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本次评标办法：综合评分法</w:t>
      </w:r>
    </w:p>
    <w:p>
      <w:pPr>
        <w:pStyle w:val="6"/>
        <w:pageBreakBefore w:val="0"/>
        <w:widowControl/>
        <w:wordWrap/>
        <w:overflowPunct/>
        <w:topLinePunct w:val="0"/>
        <w:autoSpaceDE w:val="0"/>
        <w:autoSpaceDN w:val="0"/>
        <w:bidi w:val="0"/>
        <w:adjustRightInd w:val="0"/>
        <w:snapToGrid w:val="0"/>
        <w:spacing w:line="560" w:lineRule="exact"/>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bookmarkStart w:id="1" w:name="_GoBack"/>
      <w:bookmarkEnd w:id="1"/>
      <w:r>
        <w:rPr>
          <w:rFonts w:hint="eastAsia" w:ascii="仿宋_GB2312" w:hAnsi="仿宋_GB2312" w:eastAsia="仿宋_GB2312" w:cs="仿宋_GB2312"/>
          <w:sz w:val="32"/>
          <w:szCs w:val="32"/>
          <w:lang w:eastAsia="zh-CN"/>
        </w:rPr>
        <w:t>、 评分方案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w:t>
      </w:r>
      <w:r>
        <w:rPr>
          <w:rFonts w:hint="default" w:ascii="仿宋_GB2312" w:hAnsi="仿宋_GB2312" w:eastAsia="仿宋_GB2312" w:cs="仿宋_GB2312"/>
          <w:color w:val="auto"/>
          <w:sz w:val="32"/>
          <w:szCs w:val="32"/>
          <w:lang w:eastAsia="zh-CN"/>
        </w:rPr>
        <w:t>评分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满分2</w:t>
      </w:r>
      <w:r>
        <w:rPr>
          <w:rFonts w:hint="default" w:ascii="仿宋_GB2312" w:hAnsi="仿宋_GB2312" w:eastAsia="仿宋_GB2312" w:cs="仿宋_GB2312"/>
          <w:color w:val="auto"/>
          <w:sz w:val="32"/>
          <w:szCs w:val="32"/>
          <w:lang w:eastAsia="zh-CN"/>
        </w:rPr>
        <w:t>0分</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评审原则为：价格分统一采用低价优先法计算，即满足磋商文件要求且最后报价最低的供应商的价格为磋商基准价，其价格分为满分。其他供应商的价格分统一按照下列公式计算：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32"/>
          <w:szCs w:val="32"/>
          <w:lang w:eastAsia="zh-CN"/>
        </w:rPr>
      </w:pPr>
      <m:oMath>
        <m:r>
          <m:rPr>
            <m:sty m:val="p"/>
          </m:rPr>
          <w:rPr>
            <w:rFonts w:hint="eastAsia" w:ascii="Cambria Math" w:hAnsi="Cambria Math" w:eastAsia="仿宋_GB2312" w:cs="仿宋_GB2312"/>
            <w:color w:val="auto"/>
            <w:sz w:val="32"/>
            <w:szCs w:val="32"/>
            <w:lang w:val="en-US" w:eastAsia="zh-CN"/>
          </w:rPr>
          <m:t>报价得分</m:t>
        </m:r>
        <m:r>
          <m:rPr>
            <m:sty m:val="p"/>
          </m:rPr>
          <w:rPr>
            <w:rFonts w:hint="eastAsia" w:ascii="Cambria Math" w:hAnsi="Cambria Math" w:eastAsia="仿宋_GB2312" w:cs="仿宋_GB2312"/>
            <w:color w:val="auto"/>
            <w:sz w:val="32"/>
            <w:szCs w:val="32"/>
            <w:lang w:val="zh-CN" w:eastAsia="zh-CN"/>
          </w:rPr>
          <m:t>=</m:t>
        </m:r>
        <m:f>
          <m:fPr>
            <m:ctrlPr>
              <w:rPr>
                <w:rFonts w:hint="eastAsia" w:ascii="Cambria Math" w:hAnsi="Cambria Math" w:eastAsia="仿宋_GB2312" w:cs="仿宋_GB2312"/>
                <w:color w:val="auto"/>
                <w:sz w:val="32"/>
                <w:szCs w:val="32"/>
                <w:lang w:val="zh-CN" w:eastAsia="zh-CN"/>
              </w:rPr>
            </m:ctrlPr>
          </m:fPr>
          <m:num>
            <m:r>
              <m:rPr>
                <m:sty m:val="p"/>
              </m:rPr>
              <w:rPr>
                <w:rFonts w:hint="eastAsia" w:ascii="Cambria Math" w:hAnsi="Cambria Math" w:eastAsia="仿宋_GB2312" w:cs="仿宋_GB2312"/>
                <w:color w:val="auto"/>
                <w:sz w:val="32"/>
                <w:szCs w:val="32"/>
                <w:lang w:val="en-US" w:eastAsia="zh-CN"/>
              </w:rPr>
              <m:t>磋商基准价</m:t>
            </m:r>
            <m:ctrlPr>
              <w:rPr>
                <w:rFonts w:hint="eastAsia" w:ascii="Cambria Math" w:hAnsi="Cambria Math" w:eastAsia="仿宋_GB2312" w:cs="仿宋_GB2312"/>
                <w:color w:val="auto"/>
                <w:sz w:val="32"/>
                <w:szCs w:val="32"/>
                <w:lang w:val="zh-CN" w:eastAsia="zh-CN"/>
              </w:rPr>
            </m:ctrlPr>
          </m:num>
          <m:den>
            <m:r>
              <m:rPr>
                <m:sty m:val="p"/>
              </m:rPr>
              <w:rPr>
                <w:rFonts w:hint="eastAsia" w:ascii="Cambria Math" w:hAnsi="Cambria Math" w:eastAsia="仿宋_GB2312" w:cs="仿宋_GB2312"/>
                <w:color w:val="auto"/>
                <w:sz w:val="32"/>
                <w:szCs w:val="32"/>
                <w:lang w:val="en-US" w:eastAsia="zh-CN"/>
              </w:rPr>
              <m:t>供应商最终报价</m:t>
            </m:r>
            <m:ctrlPr>
              <w:rPr>
                <w:rFonts w:hint="eastAsia" w:ascii="Cambria Math" w:hAnsi="Cambria Math" w:eastAsia="仿宋_GB2312" w:cs="仿宋_GB2312"/>
                <w:color w:val="auto"/>
                <w:sz w:val="32"/>
                <w:szCs w:val="32"/>
                <w:lang w:val="zh-CN" w:eastAsia="zh-CN"/>
              </w:rPr>
            </m:ctrlPr>
          </m:den>
        </m:f>
      </m:oMath>
      <w:r>
        <w:rPr>
          <w:rFonts w:hint="default" w:ascii="仿宋_GB2312" w:hAnsi="仿宋_GB2312" w:eastAsia="仿宋_GB2312" w:cs="仿宋_GB2312"/>
          <w:color w:val="auto"/>
          <w:sz w:val="32"/>
          <w:szCs w:val="32"/>
          <w:lang w:eastAsia="zh-CN"/>
        </w:rPr>
        <w:t>*30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22" w:firstLineChars="200"/>
        <w:textAlignment w:val="baseline"/>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注：因落实政府采购政策进行价格调整的，以调整后的价格计算评标基准价和磋商报价；磋商报价金额大写与小写不一致的，以大写为准，按单价计算金额与总报价不一致的，以按单价计算金额为准。</w:t>
      </w:r>
    </w:p>
    <w:p>
      <w:pPr>
        <w:pageBreakBefore w:val="0"/>
        <w:widowControl/>
        <w:numPr>
          <w:ilvl w:val="0"/>
          <w:numId w:val="3"/>
        </w:numPr>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技术评分（</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满分55分）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400"/>
        <w:gridCol w:w="688"/>
        <w:gridCol w:w="5323"/>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1400" w:type="dxa"/>
            <w:vAlign w:val="center"/>
          </w:tcPr>
          <w:p>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评分项目</w:t>
            </w:r>
          </w:p>
        </w:tc>
        <w:tc>
          <w:tcPr>
            <w:tcW w:w="688" w:type="dxa"/>
            <w:vAlign w:val="center"/>
          </w:tcPr>
          <w:p>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分值</w:t>
            </w:r>
          </w:p>
        </w:tc>
        <w:tc>
          <w:tcPr>
            <w:tcW w:w="5323" w:type="dxa"/>
            <w:vAlign w:val="center"/>
          </w:tcPr>
          <w:p>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评分说明</w:t>
            </w:r>
          </w:p>
        </w:tc>
        <w:tc>
          <w:tcPr>
            <w:tcW w:w="0" w:type="auto"/>
            <w:vAlign w:val="center"/>
          </w:tcPr>
          <w:p>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400"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技术参数</w:t>
            </w:r>
          </w:p>
        </w:tc>
        <w:tc>
          <w:tcPr>
            <w:tcW w:w="688"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30</w:t>
            </w:r>
          </w:p>
        </w:tc>
        <w:tc>
          <w:tcPr>
            <w:tcW w:w="5323" w:type="dxa"/>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供应商所提供标的物技术指标全部满足或优于采购清内容技术要求的，得满分10分；不满足不得分。</w:t>
            </w:r>
          </w:p>
        </w:tc>
        <w:tc>
          <w:tcPr>
            <w:tcW w:w="0" w:type="auto"/>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400"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总体技术方案</w:t>
            </w:r>
          </w:p>
        </w:tc>
        <w:tc>
          <w:tcPr>
            <w:tcW w:w="688"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5323" w:type="dxa"/>
            <w:vAlign w:val="center"/>
          </w:tcPr>
          <w:p>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供应商应充分了解本项目技术要求，对本次项目实施及服务进行技术方案响应，根据供应商提供的项目总体技术方案进行综合打分。优：5-4；一般：3-2；差：1-0分。</w:t>
            </w:r>
          </w:p>
        </w:tc>
        <w:tc>
          <w:tcPr>
            <w:tcW w:w="0" w:type="auto"/>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18"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400"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售后服务措施和方案</w:t>
            </w:r>
          </w:p>
        </w:tc>
        <w:tc>
          <w:tcPr>
            <w:tcW w:w="688" w:type="dxa"/>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5323" w:type="dxa"/>
            <w:vAlign w:val="center"/>
          </w:tcPr>
          <w:p>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供应商应针对项目提出完善的售后服务措施及方案，保障项目服务质量，根据供应商的售后服务措施和方案综合打分。优:5-4；一般：3-2；差：1-0分。</w:t>
            </w:r>
          </w:p>
        </w:tc>
        <w:tc>
          <w:tcPr>
            <w:tcW w:w="0" w:type="auto"/>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18"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w:t>
            </w:r>
          </w:p>
        </w:tc>
        <w:tc>
          <w:tcPr>
            <w:tcW w:w="1400"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安全服务保障</w:t>
            </w:r>
          </w:p>
        </w:tc>
        <w:tc>
          <w:tcPr>
            <w:tcW w:w="688"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15</w:t>
            </w:r>
          </w:p>
        </w:tc>
        <w:tc>
          <w:tcPr>
            <w:tcW w:w="5323" w:type="dxa"/>
            <w:vAlign w:val="center"/>
          </w:tcPr>
          <w:p>
            <w:pPr>
              <w:pStyle w:val="2"/>
              <w:widowControl w:val="0"/>
              <w:rPr>
                <w:rFonts w:hint="default"/>
                <w:lang w:val="en-US" w:eastAsia="zh-CN"/>
              </w:rPr>
            </w:pPr>
            <w:r>
              <w:rPr>
                <w:rFonts w:hint="eastAsia" w:ascii="仿宋_GB2312" w:hAnsi="仿宋_GB2312" w:eastAsia="仿宋_GB2312" w:cs="仿宋_GB2312"/>
                <w:b w:val="0"/>
                <w:bCs w:val="0"/>
                <w:sz w:val="21"/>
                <w:szCs w:val="21"/>
                <w:vertAlign w:val="baseline"/>
                <w:lang w:val="en-US" w:eastAsia="zh-CN"/>
              </w:rPr>
              <w:t>投标企业使用本公司云服务产品参与投标得15分.提供相关证明材料。</w:t>
            </w:r>
          </w:p>
        </w:tc>
        <w:tc>
          <w:tcPr>
            <w:tcW w:w="0" w:type="auto"/>
            <w:vAlign w:val="center"/>
          </w:tcPr>
          <w:p>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bl>
    <w:p>
      <w:pPr>
        <w:rPr>
          <w:rFonts w:hint="eastAsia"/>
          <w:lang w:val="en-US" w:eastAsia="zh-CN"/>
        </w:rPr>
      </w:pPr>
    </w:p>
    <w:p>
      <w:pPr>
        <w:pStyle w:val="2"/>
        <w:rPr>
          <w:rFonts w:hint="eastAsia"/>
          <w:lang w:val="en-US" w:eastAsia="zh-CN"/>
        </w:rPr>
      </w:pPr>
    </w:p>
    <w:p>
      <w:pPr>
        <w:pageBreakBefore w:val="0"/>
        <w:widowControl/>
        <w:numPr>
          <w:ilvl w:val="0"/>
          <w:numId w:val="3"/>
        </w:numPr>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bookmarkStart w:id="0" w:name="_Toc25763"/>
      <w:r>
        <w:rPr>
          <w:rFonts w:hint="eastAsia" w:ascii="仿宋_GB2312" w:hAnsi="仿宋_GB2312" w:eastAsia="仿宋_GB2312" w:cs="仿宋_GB2312"/>
          <w:color w:val="auto"/>
          <w:sz w:val="32"/>
          <w:szCs w:val="32"/>
          <w:lang w:val="en-US" w:eastAsia="zh-CN"/>
        </w:rPr>
        <w:t>商务评分（满分25分）</w:t>
      </w:r>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700"/>
        <w:gridCol w:w="812"/>
        <w:gridCol w:w="5032"/>
        <w:gridCol w:w="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1700" w:type="dxa"/>
            <w:vAlign w:val="center"/>
          </w:tcPr>
          <w:p>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评分项目</w:t>
            </w:r>
          </w:p>
        </w:tc>
        <w:tc>
          <w:tcPr>
            <w:tcW w:w="812" w:type="dxa"/>
            <w:vAlign w:val="center"/>
          </w:tcPr>
          <w:p>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分值</w:t>
            </w:r>
          </w:p>
        </w:tc>
        <w:tc>
          <w:tcPr>
            <w:tcW w:w="0" w:type="auto"/>
            <w:vAlign w:val="center"/>
          </w:tcPr>
          <w:p>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评分说明</w:t>
            </w:r>
          </w:p>
        </w:tc>
        <w:tc>
          <w:tcPr>
            <w:tcW w:w="0" w:type="auto"/>
            <w:vAlign w:val="center"/>
          </w:tcPr>
          <w:p>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0" w:type="auto"/>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700"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项目团队</w:t>
            </w:r>
          </w:p>
        </w:tc>
        <w:tc>
          <w:tcPr>
            <w:tcW w:w="812"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c>
          <w:tcPr>
            <w:tcW w:w="0" w:type="auto"/>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1.供应商拟投入本项目的项目经理需具备项目管理类中级及以上认证：PMP认证、云计算中级认证、通信工程师、ITSS服务工程师认证。同时具备得12分，缺一项扣2分。</w:t>
            </w:r>
          </w:p>
          <w:p>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2.供应商拟投入本项目的服务工程师不少于3人，每提供一名得1分，最高得4分。</w:t>
            </w:r>
          </w:p>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注：提供项目团队成员身份证、证书扫描件及2023年至今任意三个月社保缴纳凭证（社保缴纳单位需为对应供应商）。</w:t>
            </w:r>
          </w:p>
        </w:tc>
        <w:tc>
          <w:tcPr>
            <w:tcW w:w="0" w:type="auto"/>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700"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本地服务响应</w:t>
            </w:r>
          </w:p>
        </w:tc>
        <w:tc>
          <w:tcPr>
            <w:tcW w:w="812"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c>
          <w:tcPr>
            <w:tcW w:w="0" w:type="auto"/>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供应商承诺：</w:t>
            </w:r>
          </w:p>
          <w:p>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①专业技术人员在1小时内响应，2小时内到达采购人指定地点开始着手解决问题的得6分；</w:t>
            </w:r>
          </w:p>
          <w:p>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②专业技术人员在2小时内响应，4小时内到达采购人指定地点开始着手解决问题的得3分。</w:t>
            </w:r>
          </w:p>
          <w:p>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③专业技术人员在4小时以内响应，6小时以上到达采购人指定地点的不得分。</w:t>
            </w:r>
          </w:p>
        </w:tc>
        <w:tc>
          <w:tcPr>
            <w:tcW w:w="0" w:type="auto"/>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700"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相关业绩</w:t>
            </w:r>
          </w:p>
        </w:tc>
        <w:tc>
          <w:tcPr>
            <w:tcW w:w="812" w:type="dxa"/>
            <w:vAlign w:val="center"/>
          </w:tcPr>
          <w:p>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c>
          <w:tcPr>
            <w:tcW w:w="0" w:type="auto"/>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具有类似需求业绩有1项得4分，最多12分。提供相关材料</w:t>
            </w:r>
          </w:p>
        </w:tc>
        <w:tc>
          <w:tcPr>
            <w:tcW w:w="0" w:type="auto"/>
            <w:vAlign w:val="center"/>
          </w:tcPr>
          <w:p>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bl>
    <w:p>
      <w:pPr>
        <w:pStyle w:val="2"/>
      </w:pPr>
    </w:p>
    <w:sectPr>
      <w:footerReference r:id="rId5" w:type="default"/>
      <w:pgSz w:w="1190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红头文件字体">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D5BBE"/>
    <w:multiLevelType w:val="singleLevel"/>
    <w:tmpl w:val="CA4D5BBE"/>
    <w:lvl w:ilvl="0" w:tentative="0">
      <w:start w:val="4"/>
      <w:numFmt w:val="decimal"/>
      <w:lvlText w:val="%1."/>
      <w:lvlJc w:val="left"/>
      <w:pPr>
        <w:tabs>
          <w:tab w:val="left" w:pos="312"/>
        </w:tabs>
      </w:pPr>
    </w:lvl>
  </w:abstractNum>
  <w:abstractNum w:abstractNumId="1">
    <w:nsid w:val="33A7118B"/>
    <w:multiLevelType w:val="singleLevel"/>
    <w:tmpl w:val="33A7118B"/>
    <w:lvl w:ilvl="0" w:tentative="0">
      <w:start w:val="2"/>
      <w:numFmt w:val="decimal"/>
      <w:suff w:val="space"/>
      <w:lvlText w:val="%1."/>
      <w:lvlJc w:val="left"/>
    </w:lvl>
  </w:abstractNum>
  <w:abstractNum w:abstractNumId="2">
    <w:nsid w:val="7E8F04B3"/>
    <w:multiLevelType w:val="multilevel"/>
    <w:tmpl w:val="7E8F04B3"/>
    <w:lvl w:ilvl="0" w:tentative="0">
      <w:start w:val="0"/>
      <w:numFmt w:val="decimal"/>
      <w:lvlText w:val=""/>
      <w:lvlJc w:val="left"/>
      <w:pPr>
        <w:tabs>
          <w:tab w:val="left" w:pos="0"/>
        </w:tabs>
      </w:pPr>
    </w:lvl>
    <w:lvl w:ilvl="1" w:tentative="0">
      <w:start w:val="0"/>
      <w:numFmt w:val="decimal"/>
      <w:pStyle w:val="7"/>
      <w:lvlText w:val=""/>
      <w:lvlJc w:val="left"/>
      <w:pPr>
        <w:tabs>
          <w:tab w:val="left" w:pos="0"/>
        </w:tabs>
      </w:pPr>
    </w:lvl>
    <w:lvl w:ilvl="2" w:tentative="0">
      <w:start w:val="0"/>
      <w:numFmt w:val="decimal"/>
      <w:lvlText w:val=""/>
      <w:lvlJc w:val="left"/>
      <w:pPr>
        <w:tabs>
          <w:tab w:val="left" w:pos="0"/>
        </w:tabs>
      </w:pPr>
    </w:lvl>
    <w:lvl w:ilvl="3" w:tentative="0">
      <w:start w:val="0"/>
      <w:numFmt w:val="decimal"/>
      <w:lvlText w:val=""/>
      <w:lvlJc w:val="left"/>
      <w:pPr>
        <w:tabs>
          <w:tab w:val="left" w:pos="0"/>
        </w:tabs>
      </w:pPr>
    </w:lvl>
    <w:lvl w:ilvl="4" w:tentative="0">
      <w:start w:val="0"/>
      <w:numFmt w:val="decimal"/>
      <w:lvlText w:val=""/>
      <w:lvlJc w:val="left"/>
      <w:pPr>
        <w:tabs>
          <w:tab w:val="left" w:pos="0"/>
        </w:tabs>
      </w:pPr>
    </w:lvl>
    <w:lvl w:ilvl="5" w:tentative="0">
      <w:start w:val="0"/>
      <w:numFmt w:val="decimal"/>
      <w:lvlText w:val=""/>
      <w:lvlJc w:val="left"/>
      <w:pPr>
        <w:tabs>
          <w:tab w:val="left" w:pos="0"/>
        </w:tabs>
      </w:pPr>
    </w:lvl>
    <w:lvl w:ilvl="6" w:tentative="0">
      <w:start w:val="0"/>
      <w:numFmt w:val="decimal"/>
      <w:lvlText w:val=""/>
      <w:lvlJc w:val="left"/>
      <w:pPr>
        <w:tabs>
          <w:tab w:val="left" w:pos="0"/>
        </w:tabs>
      </w:pPr>
    </w:lvl>
    <w:lvl w:ilvl="7" w:tentative="0">
      <w:start w:val="0"/>
      <w:numFmt w:val="decimal"/>
      <w:lvlText w:val=""/>
      <w:lvlJc w:val="left"/>
      <w:pPr>
        <w:tabs>
          <w:tab w:val="left" w:pos="0"/>
        </w:tabs>
      </w:pPr>
    </w:lvl>
    <w:lvl w:ilvl="8" w:tentative="0">
      <w:start w:val="0"/>
      <w:numFmt w:val="decimal"/>
      <w:lvlText w:val=""/>
      <w:lvlJc w:val="left"/>
      <w:pPr>
        <w:tabs>
          <w:tab w:val="left" w:pos="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FkMDEzOTQ5OTAyZTZkOGNkNWJmNGM1MzIxNjA2NjcifQ=="/>
  </w:docVars>
  <w:rsids>
    <w:rsidRoot w:val="00000000"/>
    <w:rsid w:val="00593490"/>
    <w:rsid w:val="0BC80588"/>
    <w:rsid w:val="0ED61A89"/>
    <w:rsid w:val="157A0F8D"/>
    <w:rsid w:val="164D719B"/>
    <w:rsid w:val="17F919C8"/>
    <w:rsid w:val="1E927791"/>
    <w:rsid w:val="228613BF"/>
    <w:rsid w:val="2DD76D5C"/>
    <w:rsid w:val="2E8709EE"/>
    <w:rsid w:val="340635EC"/>
    <w:rsid w:val="36A2369D"/>
    <w:rsid w:val="4A3A3815"/>
    <w:rsid w:val="4DBC2EF2"/>
    <w:rsid w:val="50796AE0"/>
    <w:rsid w:val="67E173A0"/>
    <w:rsid w:val="6F770C1E"/>
    <w:rsid w:val="757D7FE3"/>
    <w:rsid w:val="759579DF"/>
    <w:rsid w:val="7EBB7740"/>
    <w:rsid w:val="7EC00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1"/>
    <w:basedOn w:val="1"/>
    <w:next w:val="1"/>
    <w:qFormat/>
    <w:uiPriority w:val="0"/>
    <w:pPr>
      <w:keepNext/>
      <w:keepLines/>
      <w:spacing w:before="120" w:beforeLines="50" w:after="120" w:afterLines="50" w:line="360" w:lineRule="auto"/>
      <w:outlineLvl w:val="0"/>
    </w:pPr>
    <w:rPr>
      <w:rFonts w:eastAsia="方正仿宋_GBK"/>
      <w:b/>
      <w:bCs/>
      <w:kern w:val="44"/>
      <w:sz w:val="32"/>
      <w:szCs w:val="44"/>
    </w:rPr>
  </w:style>
  <w:style w:type="paragraph" w:styleId="7">
    <w:name w:val="heading 2"/>
    <w:basedOn w:val="1"/>
    <w:next w:val="1"/>
    <w:qFormat/>
    <w:uiPriority w:val="0"/>
    <w:pPr>
      <w:keepNext/>
      <w:keepLines/>
      <w:numPr>
        <w:ilvl w:val="1"/>
        <w:numId w:val="1"/>
      </w:numPr>
      <w:spacing w:line="415" w:lineRule="auto"/>
      <w:outlineLvl w:val="1"/>
    </w:pPr>
    <w:rPr>
      <w:rFonts w:ascii="宋体" w:hAnsi="宋体" w:eastAsia="宋体" w:cs="Arial"/>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99"/>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5">
    <w:name w:val="段"/>
    <w:basedOn w:val="1"/>
    <w:next w:val="1"/>
    <w:qFormat/>
    <w:uiPriority w:val="99"/>
    <w:pPr>
      <w:autoSpaceDE w:val="0"/>
      <w:autoSpaceDN w:val="0"/>
    </w:pPr>
    <w:rPr>
      <w:rFonts w:hint="eastAsia"/>
      <w:szCs w:val="20"/>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1606</Words>
  <Characters>1725</Characters>
  <TotalTime>4</TotalTime>
  <ScaleCrop>false</ScaleCrop>
  <LinksUpToDate>false</LinksUpToDate>
  <CharactersWithSpaces>1727</CharactersWithSpaces>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2024-07-10T08:56:00Z</dcterms:created>
  <dc:creator>Trcao</dc:creator>
  <cp:lastModifiedBy>Print丶li_W</cp:lastModifiedBy>
  <dcterms:modified xsi:type="dcterms:W3CDTF">2024-07-11T08:19:13Z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2024-07-10T08:56:39Z</vt:filetime>
  </property>
  <property fmtid="{D5CDD505-2E9C-101B-9397-08002B2CF9AE}" pid="4" name="UsrData">
    <vt:lpwstr>668ddc42e8f0ea001fedab25wl</vt:lpwstr>
  </property>
  <property fmtid="{D5CDD505-2E9C-101B-9397-08002B2CF9AE}" pid="5" name="KSOProductBuildVer">
    <vt:lpwstr>2052-11.1.0.10667</vt:lpwstr>
  </property>
  <property fmtid="{D5CDD505-2E9C-101B-9397-08002B2CF9AE}" pid="6" name="ICV">
    <vt:lpwstr>5C4C158F1D4B4AD4AF0AF26134456CF5</vt:lpwstr>
  </property>
</Properties>
</file>