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41F7E">
      <w:pPr>
        <w:spacing w:before="101" w:line="225" w:lineRule="auto"/>
        <w:ind w:left="268" w:firstLine="871"/>
        <w:jc w:val="center"/>
        <w:rPr>
          <w:rFonts w:ascii="仿宋" w:hAnsi="仿宋" w:eastAsia="仿宋" w:cs="仿宋"/>
          <w:b/>
          <w:bCs/>
          <w:color w:val="auto"/>
          <w:spacing w:val="2"/>
          <w:sz w:val="43"/>
          <w:szCs w:val="43"/>
          <w:u w:val="single"/>
          <w:lang w:eastAsia="zh-CN"/>
        </w:rPr>
      </w:pPr>
    </w:p>
    <w:p w14:paraId="5759DA12">
      <w:pPr>
        <w:keepNext w:val="0"/>
        <w:keepLines w:val="0"/>
        <w:pageBreakBefore w:val="0"/>
        <w:widowControl/>
        <w:kinsoku w:val="0"/>
        <w:wordWrap/>
        <w:overflowPunct/>
        <w:topLinePunct w:val="0"/>
        <w:autoSpaceDE w:val="0"/>
        <w:autoSpaceDN w:val="0"/>
        <w:bidi w:val="0"/>
        <w:adjustRightInd w:val="0"/>
        <w:snapToGrid w:val="0"/>
        <w:spacing w:before="101" w:line="226" w:lineRule="auto"/>
        <w:ind w:left="0" w:firstLine="873"/>
        <w:jc w:val="center"/>
        <w:textAlignment w:val="baseline"/>
        <w:rPr>
          <w:rFonts w:ascii="仿宋" w:hAnsi="仿宋" w:eastAsia="仿宋" w:cs="仿宋"/>
          <w:b/>
          <w:bCs/>
          <w:color w:val="auto"/>
          <w:spacing w:val="2"/>
          <w:sz w:val="43"/>
          <w:szCs w:val="43"/>
          <w:u w:val="single"/>
          <w:lang w:eastAsia="zh-CN"/>
        </w:rPr>
      </w:pPr>
    </w:p>
    <w:p w14:paraId="31F205ED">
      <w:pPr>
        <w:keepNext w:val="0"/>
        <w:keepLines w:val="0"/>
        <w:pageBreakBefore w:val="0"/>
        <w:widowControl/>
        <w:kinsoku w:val="0"/>
        <w:wordWrap/>
        <w:overflowPunct/>
        <w:topLinePunct w:val="0"/>
        <w:autoSpaceDE w:val="0"/>
        <w:autoSpaceDN w:val="0"/>
        <w:bidi w:val="0"/>
        <w:adjustRightInd w:val="0"/>
        <w:snapToGrid w:val="0"/>
        <w:spacing w:before="101" w:line="226" w:lineRule="auto"/>
        <w:ind w:left="0" w:firstLine="0"/>
        <w:jc w:val="center"/>
        <w:textAlignment w:val="baseline"/>
        <w:rPr>
          <w:rFonts w:hint="eastAsia" w:ascii="红头文件字体" w:hAnsi="红头文件字体" w:eastAsia="红头文件字体" w:cs="红头文件字体"/>
          <w:b/>
          <w:bCs/>
          <w:color w:val="auto"/>
          <w:spacing w:val="2"/>
          <w:sz w:val="44"/>
          <w:szCs w:val="44"/>
          <w:u w:val="none"/>
          <w:lang w:val="en-US" w:eastAsia="zh-CN"/>
        </w:rPr>
      </w:pPr>
      <w:r>
        <w:rPr>
          <w:rFonts w:hint="eastAsia" w:ascii="红头文件字体" w:hAnsi="红头文件字体" w:eastAsia="红头文件字体" w:cs="红头文件字体"/>
          <w:b/>
          <w:bCs/>
          <w:color w:val="auto"/>
          <w:spacing w:val="2"/>
          <w:sz w:val="44"/>
          <w:szCs w:val="44"/>
          <w:u w:val="none"/>
          <w:lang w:eastAsia="zh-CN"/>
        </w:rPr>
        <w:t>毕节工业职业技术</w:t>
      </w:r>
      <w:r>
        <w:rPr>
          <w:rFonts w:hint="eastAsia" w:ascii="红头文件字体" w:hAnsi="红头文件字体" w:eastAsia="红头文件字体" w:cs="红头文件字体"/>
          <w:b/>
          <w:bCs/>
          <w:color w:val="auto"/>
          <w:spacing w:val="2"/>
          <w:sz w:val="44"/>
          <w:szCs w:val="44"/>
          <w:u w:val="none"/>
          <w:lang w:val="en-US" w:eastAsia="zh-CN"/>
        </w:rPr>
        <w:t>学院</w:t>
      </w:r>
    </w:p>
    <w:p w14:paraId="34B0312E">
      <w:pPr>
        <w:keepNext w:val="0"/>
        <w:keepLines w:val="0"/>
        <w:pageBreakBefore w:val="0"/>
        <w:widowControl/>
        <w:kinsoku w:val="0"/>
        <w:wordWrap/>
        <w:overflowPunct/>
        <w:topLinePunct w:val="0"/>
        <w:autoSpaceDE w:val="0"/>
        <w:autoSpaceDN w:val="0"/>
        <w:bidi w:val="0"/>
        <w:adjustRightInd w:val="0"/>
        <w:snapToGrid w:val="0"/>
        <w:spacing w:before="101" w:line="226" w:lineRule="auto"/>
        <w:ind w:left="0" w:firstLine="0"/>
        <w:jc w:val="center"/>
        <w:textAlignment w:val="baseline"/>
        <w:rPr>
          <w:rFonts w:hint="eastAsia" w:ascii="红头文件字体" w:hAnsi="红头文件字体" w:eastAsia="红头文件字体" w:cs="红头文件字体"/>
          <w:b/>
          <w:bCs/>
          <w:color w:val="auto"/>
          <w:spacing w:val="2"/>
          <w:sz w:val="44"/>
          <w:szCs w:val="44"/>
          <w:u w:val="none"/>
          <w:lang w:eastAsia="zh-CN"/>
        </w:rPr>
      </w:pPr>
      <w:r>
        <w:rPr>
          <w:rFonts w:hint="eastAsia" w:ascii="红头文件字体" w:hAnsi="红头文件字体" w:eastAsia="红头文件字体" w:cs="红头文件字体"/>
          <w:b/>
          <w:bCs/>
          <w:color w:val="auto"/>
          <w:spacing w:val="2"/>
          <w:sz w:val="44"/>
          <w:szCs w:val="44"/>
          <w:u w:val="none"/>
          <w:lang w:eastAsia="zh-CN"/>
        </w:rPr>
        <w:t>官网云托管项目招标</w:t>
      </w:r>
      <w:r>
        <w:rPr>
          <w:rFonts w:hint="eastAsia" w:ascii="红头文件字体" w:hAnsi="红头文件字体" w:eastAsia="红头文件字体" w:cs="红头文件字体"/>
          <w:b/>
          <w:bCs/>
          <w:color w:val="auto"/>
          <w:spacing w:val="2"/>
          <w:sz w:val="44"/>
          <w:szCs w:val="44"/>
          <w:u w:val="none"/>
          <w:lang w:val="en-US" w:eastAsia="zh-CN"/>
        </w:rPr>
        <w:t>方案</w:t>
      </w:r>
    </w:p>
    <w:p w14:paraId="2ABE5902">
      <w:pPr>
        <w:spacing w:before="101" w:line="225" w:lineRule="auto"/>
        <w:ind w:left="268" w:firstLine="871"/>
        <w:rPr>
          <w:rFonts w:ascii="仿宋" w:hAnsi="仿宋" w:eastAsia="仿宋" w:cs="仿宋"/>
          <w:b/>
          <w:bCs/>
          <w:color w:val="auto"/>
          <w:spacing w:val="2"/>
          <w:sz w:val="43"/>
          <w:szCs w:val="43"/>
          <w:u w:val="single"/>
          <w:lang w:eastAsia="zh-CN"/>
        </w:rPr>
      </w:pPr>
    </w:p>
    <w:p w14:paraId="288292E7">
      <w:pPr>
        <w:spacing w:before="101" w:line="225" w:lineRule="auto"/>
        <w:ind w:left="268" w:firstLine="871"/>
        <w:rPr>
          <w:rFonts w:ascii="仿宋" w:hAnsi="仿宋" w:eastAsia="仿宋" w:cs="仿宋"/>
          <w:b/>
          <w:bCs/>
          <w:color w:val="auto"/>
          <w:spacing w:val="2"/>
          <w:sz w:val="43"/>
          <w:szCs w:val="43"/>
          <w:u w:val="single"/>
          <w:lang w:eastAsia="zh-CN"/>
        </w:rPr>
      </w:pPr>
    </w:p>
    <w:p w14:paraId="6D862D33">
      <w:pPr>
        <w:spacing w:before="101" w:line="225" w:lineRule="auto"/>
        <w:ind w:left="268" w:firstLine="871"/>
        <w:rPr>
          <w:rFonts w:ascii="仿宋" w:hAnsi="仿宋" w:eastAsia="仿宋" w:cs="仿宋"/>
          <w:b/>
          <w:bCs/>
          <w:color w:val="auto"/>
          <w:spacing w:val="2"/>
          <w:sz w:val="43"/>
          <w:szCs w:val="43"/>
          <w:u w:val="single"/>
          <w:lang w:eastAsia="zh-CN"/>
        </w:rPr>
      </w:pPr>
    </w:p>
    <w:p w14:paraId="00350C26">
      <w:pPr>
        <w:spacing w:before="101" w:line="225" w:lineRule="auto"/>
        <w:ind w:left="268" w:firstLine="871"/>
        <w:rPr>
          <w:rFonts w:ascii="仿宋" w:hAnsi="仿宋" w:eastAsia="仿宋" w:cs="仿宋"/>
          <w:b/>
          <w:bCs/>
          <w:color w:val="auto"/>
          <w:spacing w:val="2"/>
          <w:sz w:val="43"/>
          <w:szCs w:val="43"/>
          <w:u w:val="single"/>
          <w:lang w:eastAsia="zh-CN"/>
        </w:rPr>
      </w:pPr>
    </w:p>
    <w:p w14:paraId="29AFF639">
      <w:pPr>
        <w:spacing w:before="101" w:line="225" w:lineRule="auto"/>
        <w:ind w:left="268" w:firstLine="871"/>
        <w:rPr>
          <w:rFonts w:ascii="仿宋" w:hAnsi="仿宋" w:eastAsia="仿宋" w:cs="仿宋"/>
          <w:b/>
          <w:bCs/>
          <w:color w:val="auto"/>
          <w:spacing w:val="2"/>
          <w:sz w:val="43"/>
          <w:szCs w:val="43"/>
          <w:u w:val="single"/>
          <w:lang w:eastAsia="zh-CN"/>
        </w:rPr>
      </w:pPr>
    </w:p>
    <w:p w14:paraId="41850027">
      <w:pPr>
        <w:spacing w:before="101" w:line="225" w:lineRule="auto"/>
        <w:ind w:left="268" w:firstLine="871"/>
        <w:rPr>
          <w:rFonts w:ascii="仿宋" w:hAnsi="仿宋" w:eastAsia="仿宋" w:cs="仿宋"/>
          <w:b/>
          <w:bCs/>
          <w:color w:val="auto"/>
          <w:spacing w:val="2"/>
          <w:sz w:val="43"/>
          <w:szCs w:val="43"/>
          <w:u w:val="single"/>
          <w:lang w:eastAsia="zh-CN"/>
        </w:rPr>
      </w:pPr>
    </w:p>
    <w:p w14:paraId="151F754A">
      <w:pPr>
        <w:spacing w:before="101" w:line="225" w:lineRule="auto"/>
        <w:ind w:left="268" w:firstLine="871"/>
        <w:rPr>
          <w:rFonts w:ascii="仿宋" w:hAnsi="仿宋" w:eastAsia="仿宋" w:cs="仿宋"/>
          <w:b/>
          <w:bCs/>
          <w:color w:val="auto"/>
          <w:spacing w:val="2"/>
          <w:sz w:val="43"/>
          <w:szCs w:val="43"/>
          <w:u w:val="single"/>
          <w:lang w:eastAsia="zh-CN"/>
        </w:rPr>
      </w:pPr>
    </w:p>
    <w:p w14:paraId="3CF75D70">
      <w:pPr>
        <w:spacing w:before="101" w:line="225" w:lineRule="auto"/>
        <w:ind w:left="268" w:firstLine="871"/>
        <w:rPr>
          <w:rFonts w:ascii="仿宋" w:hAnsi="仿宋" w:eastAsia="仿宋" w:cs="仿宋"/>
          <w:b/>
          <w:bCs/>
          <w:color w:val="auto"/>
          <w:spacing w:val="2"/>
          <w:sz w:val="43"/>
          <w:szCs w:val="43"/>
          <w:u w:val="single"/>
          <w:lang w:eastAsia="zh-CN"/>
        </w:rPr>
      </w:pPr>
    </w:p>
    <w:p w14:paraId="2BB0BA67">
      <w:pPr>
        <w:spacing w:before="101" w:line="225" w:lineRule="auto"/>
        <w:ind w:left="268" w:firstLine="871"/>
        <w:rPr>
          <w:rFonts w:ascii="仿宋" w:hAnsi="仿宋" w:eastAsia="仿宋" w:cs="仿宋"/>
          <w:b/>
          <w:bCs/>
          <w:color w:val="auto"/>
          <w:spacing w:val="2"/>
          <w:sz w:val="43"/>
          <w:szCs w:val="43"/>
          <w:u w:val="single"/>
          <w:lang w:eastAsia="zh-CN"/>
        </w:rPr>
      </w:pPr>
    </w:p>
    <w:p w14:paraId="7B60953C">
      <w:pPr>
        <w:spacing w:before="101" w:line="225" w:lineRule="auto"/>
        <w:ind w:left="268" w:firstLine="871"/>
        <w:rPr>
          <w:rFonts w:ascii="仿宋" w:hAnsi="仿宋" w:eastAsia="仿宋" w:cs="仿宋"/>
          <w:b/>
          <w:bCs/>
          <w:color w:val="auto"/>
          <w:spacing w:val="2"/>
          <w:sz w:val="43"/>
          <w:szCs w:val="43"/>
          <w:u w:val="single"/>
          <w:lang w:eastAsia="zh-CN"/>
        </w:rPr>
      </w:pPr>
    </w:p>
    <w:p w14:paraId="42A41B2B">
      <w:pPr>
        <w:spacing w:before="101" w:line="225" w:lineRule="auto"/>
        <w:ind w:left="268" w:firstLine="871"/>
        <w:rPr>
          <w:rFonts w:ascii="仿宋" w:hAnsi="仿宋" w:eastAsia="仿宋" w:cs="仿宋"/>
          <w:b/>
          <w:bCs/>
          <w:color w:val="auto"/>
          <w:spacing w:val="2"/>
          <w:sz w:val="43"/>
          <w:szCs w:val="43"/>
          <w:u w:val="single"/>
          <w:lang w:eastAsia="zh-CN"/>
        </w:rPr>
      </w:pPr>
    </w:p>
    <w:p w14:paraId="0C1BEA28">
      <w:pPr>
        <w:spacing w:before="101" w:line="225" w:lineRule="auto"/>
        <w:rPr>
          <w:rFonts w:ascii="仿宋" w:hAnsi="仿宋" w:eastAsia="仿宋" w:cs="仿宋"/>
          <w:b/>
          <w:bCs/>
          <w:color w:val="auto"/>
          <w:spacing w:val="2"/>
          <w:sz w:val="43"/>
          <w:szCs w:val="43"/>
          <w:u w:val="single"/>
          <w:lang w:eastAsia="zh-CN"/>
        </w:rPr>
      </w:pPr>
    </w:p>
    <w:p w14:paraId="294E557D">
      <w:pPr>
        <w:spacing w:before="101" w:line="225" w:lineRule="auto"/>
        <w:ind w:left="268" w:firstLine="871"/>
        <w:rPr>
          <w:rFonts w:ascii="仿宋" w:hAnsi="仿宋" w:eastAsia="仿宋" w:cs="仿宋"/>
          <w:b/>
          <w:bCs/>
          <w:color w:val="auto"/>
          <w:spacing w:val="2"/>
          <w:sz w:val="43"/>
          <w:szCs w:val="43"/>
          <w:u w:val="single"/>
          <w:lang w:eastAsia="zh-CN"/>
        </w:rPr>
      </w:pPr>
    </w:p>
    <w:p w14:paraId="7082AAF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textAlignment w:val="baseline"/>
        <w:rPr>
          <w:rFonts w:hint="eastAsia" w:ascii="仿宋_GB2312" w:hAnsi="仿宋_GB2312" w:eastAsia="仿宋_GB2312" w:cs="仿宋_GB2312"/>
          <w:b/>
          <w:bCs/>
          <w:color w:val="auto"/>
          <w:spacing w:val="2"/>
          <w:sz w:val="32"/>
          <w:szCs w:val="32"/>
          <w:u w:val="single"/>
          <w:lang w:eastAsia="zh-CN"/>
        </w:rPr>
      </w:pPr>
    </w:p>
    <w:p w14:paraId="340470D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textAlignment w:val="baseline"/>
        <w:rPr>
          <w:rFonts w:hint="eastAsia" w:ascii="仿宋_GB2312" w:hAnsi="仿宋_GB2312" w:eastAsia="仿宋_GB2312" w:cs="仿宋_GB2312"/>
          <w:b/>
          <w:bCs/>
          <w:color w:val="auto"/>
          <w:spacing w:val="2"/>
          <w:sz w:val="32"/>
          <w:szCs w:val="32"/>
          <w:u w:val="single"/>
          <w:lang w:eastAsia="zh-CN"/>
        </w:rPr>
      </w:pPr>
    </w:p>
    <w:p w14:paraId="55BBC53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仿宋_GB2312" w:hAnsi="仿宋_GB2312" w:eastAsia="仿宋_GB2312" w:cs="仿宋_GB2312"/>
          <w:color w:val="auto"/>
          <w:spacing w:val="2"/>
          <w:sz w:val="32"/>
          <w:szCs w:val="32"/>
          <w:lang w:eastAsia="zh-CN"/>
        </w:rPr>
      </w:pPr>
      <w:r>
        <w:rPr>
          <w:rFonts w:hint="eastAsia" w:ascii="仿宋_GB2312" w:hAnsi="仿宋_GB2312" w:eastAsia="仿宋_GB2312" w:cs="仿宋_GB2312"/>
          <w:color w:val="auto"/>
          <w:spacing w:val="2"/>
          <w:sz w:val="32"/>
          <w:szCs w:val="32"/>
          <w:lang w:eastAsia="zh-CN"/>
        </w:rPr>
        <w:t>2024年</w:t>
      </w:r>
      <w:r>
        <w:rPr>
          <w:rFonts w:hint="eastAsia" w:ascii="仿宋_GB2312" w:hAnsi="仿宋_GB2312" w:eastAsia="仿宋_GB2312" w:cs="仿宋_GB2312"/>
          <w:color w:val="auto"/>
          <w:spacing w:val="2"/>
          <w:sz w:val="32"/>
          <w:szCs w:val="32"/>
          <w:lang w:val="en-US" w:eastAsia="zh-CN"/>
        </w:rPr>
        <w:t>7</w:t>
      </w:r>
      <w:r>
        <w:rPr>
          <w:rFonts w:hint="eastAsia" w:ascii="仿宋_GB2312" w:hAnsi="仿宋_GB2312" w:eastAsia="仿宋_GB2312" w:cs="仿宋_GB2312"/>
          <w:color w:val="auto"/>
          <w:spacing w:val="2"/>
          <w:sz w:val="32"/>
          <w:szCs w:val="32"/>
          <w:lang w:eastAsia="zh-CN"/>
        </w:rPr>
        <w:t>月</w:t>
      </w:r>
    </w:p>
    <w:p w14:paraId="157AE80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textAlignment w:val="baseline"/>
        <w:rPr>
          <w:rFonts w:hint="eastAsia" w:ascii="仿宋_GB2312" w:hAnsi="仿宋_GB2312" w:eastAsia="仿宋_GB2312" w:cs="仿宋_GB2312"/>
          <w:b/>
          <w:bCs/>
          <w:color w:val="auto"/>
          <w:sz w:val="32"/>
          <w:szCs w:val="32"/>
          <w:lang w:eastAsia="zh-CN"/>
        </w:rPr>
        <w:sectPr>
          <w:pgSz w:w="11906" w:h="16839"/>
          <w:pgMar w:top="1440" w:right="1800" w:bottom="1440" w:left="1800" w:header="0" w:footer="0" w:gutter="0"/>
          <w:cols w:space="720" w:num="1"/>
        </w:sectPr>
      </w:pPr>
      <w:r>
        <w:rPr>
          <w:rFonts w:hint="eastAsia" w:ascii="仿宋_GB2312" w:hAnsi="仿宋_GB2312" w:eastAsia="仿宋_GB2312" w:cs="仿宋_GB2312"/>
          <w:b/>
          <w:bCs/>
          <w:color w:val="auto"/>
          <w:sz w:val="32"/>
          <w:szCs w:val="32"/>
          <w:lang w:eastAsia="zh-CN"/>
        </w:rPr>
        <w:br w:type="page"/>
      </w:r>
    </w:p>
    <w:p w14:paraId="5979248E">
      <w:pPr>
        <w:pStyle w:val="6"/>
        <w:pageBreakBefore w:val="0"/>
        <w:widowControl/>
        <w:wordWrap/>
        <w:overflowPunct/>
        <w:topLinePunct w:val="0"/>
        <w:autoSpaceDE w:val="0"/>
        <w:autoSpaceDN w:val="0"/>
        <w:bidi w:val="0"/>
        <w:adjustRightInd w:val="0"/>
        <w:snapToGrid w:val="0"/>
        <w:spacing w:before="0" w:beforeLines="0" w:after="0" w:afterLines="0" w:line="560" w:lineRule="exact"/>
        <w:ind w:firstLine="643"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一、项目名称</w:t>
      </w:r>
    </w:p>
    <w:p w14:paraId="1D344D91">
      <w:pPr>
        <w:pageBreakBefore w:val="0"/>
        <w:widowControl/>
        <w:suppressAutoHyphen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毕节工业职业技术学院</w:t>
      </w:r>
      <w:r>
        <w:rPr>
          <w:rFonts w:hint="eastAsia" w:ascii="仿宋_GB2312" w:hAnsi="仿宋_GB2312" w:eastAsia="仿宋_GB2312" w:cs="仿宋_GB2312"/>
          <w:color w:val="auto"/>
          <w:sz w:val="32"/>
          <w:szCs w:val="32"/>
          <w:lang w:eastAsia="zh-CN"/>
        </w:rPr>
        <w:t>官网云托管项目</w:t>
      </w:r>
    </w:p>
    <w:p w14:paraId="0D621972">
      <w:pPr>
        <w:pStyle w:val="2"/>
        <w:spacing w:line="316" w:lineRule="auto"/>
      </w:pPr>
    </w:p>
    <w:p w14:paraId="51223E5F">
      <w:pPr>
        <w:pStyle w:val="6"/>
        <w:pageBreakBefore w:val="0"/>
        <w:wordWrap/>
        <w:overflowPunct/>
        <w:topLinePunct w:val="0"/>
        <w:autoSpaceDE w:val="0"/>
        <w:autoSpaceDN w:val="0"/>
        <w:bidi w:val="0"/>
        <w:adjustRightInd w:val="0"/>
        <w:snapToGrid w:val="0"/>
        <w:spacing w:before="0" w:beforeLines="0" w:after="0" w:afterLines="0" w:line="360" w:lineRule="auto"/>
        <w:ind w:firstLine="643"/>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、服务内容及要求</w:t>
      </w:r>
    </w:p>
    <w:p w14:paraId="36C2F697">
      <w:pPr>
        <w:pageBreakBefore w:val="0"/>
        <w:wordWrap/>
        <w:overflowPunct/>
        <w:topLinePunct w:val="0"/>
        <w:autoSpaceDE w:val="0"/>
        <w:autoSpaceDN w:val="0"/>
        <w:bidi w:val="0"/>
        <w:adjustRightInd w:val="0"/>
        <w:snapToGrid w:val="0"/>
        <w:spacing w:line="360" w:lineRule="auto"/>
        <w:ind w:firstLine="643" w:firstLineChars="200"/>
        <w:textAlignment w:val="baseline"/>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eastAsia="zh-CN"/>
        </w:rPr>
        <w:t>1.</w:t>
      </w:r>
      <w:r>
        <w:rPr>
          <w:rFonts w:hint="eastAsia" w:ascii="仿宋_GB2312" w:hAnsi="仿宋_GB2312" w:eastAsia="仿宋_GB2312" w:cs="仿宋_GB2312"/>
          <w:b/>
          <w:bCs/>
          <w:color w:val="auto"/>
          <w:sz w:val="32"/>
          <w:szCs w:val="32"/>
          <w:lang w:val="en-US" w:eastAsia="zh-CN"/>
        </w:rPr>
        <w:t>采购内容</w:t>
      </w:r>
    </w:p>
    <w:tbl>
      <w:tblPr>
        <w:tblStyle w:val="12"/>
        <w:tblpPr w:leftFromText="180" w:rightFromText="180" w:vertAnchor="text" w:horzAnchor="page" w:tblpXSpec="center" w:tblpY="212"/>
        <w:tblOverlap w:val="never"/>
        <w:tblW w:w="79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1100"/>
        <w:gridCol w:w="5446"/>
        <w:gridCol w:w="699"/>
      </w:tblGrid>
      <w:tr w14:paraId="2523A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jc w:val="center"/>
        </w:trPr>
        <w:tc>
          <w:tcPr>
            <w:tcW w:w="715" w:type="dxa"/>
            <w:vAlign w:val="center"/>
          </w:tcPr>
          <w:p w14:paraId="52286ECF">
            <w:pPr>
              <w:pStyle w:val="13"/>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序号</w:t>
            </w:r>
          </w:p>
        </w:tc>
        <w:tc>
          <w:tcPr>
            <w:tcW w:w="1100" w:type="dxa"/>
            <w:vAlign w:val="center"/>
          </w:tcPr>
          <w:p w14:paraId="00DD4A1E">
            <w:pPr>
              <w:pStyle w:val="13"/>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b/>
                <w:bCs/>
                <w:spacing w:val="-4"/>
                <w:sz w:val="21"/>
                <w:szCs w:val="21"/>
              </w:rPr>
              <w:t>服务类型</w:t>
            </w:r>
          </w:p>
        </w:tc>
        <w:tc>
          <w:tcPr>
            <w:tcW w:w="5446" w:type="dxa"/>
            <w:vAlign w:val="center"/>
          </w:tcPr>
          <w:p w14:paraId="7955F8E9">
            <w:pPr>
              <w:pStyle w:val="13"/>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规格</w:t>
            </w:r>
          </w:p>
        </w:tc>
        <w:tc>
          <w:tcPr>
            <w:tcW w:w="699" w:type="dxa"/>
            <w:vAlign w:val="center"/>
          </w:tcPr>
          <w:p w14:paraId="12E7F3BB">
            <w:pPr>
              <w:pStyle w:val="13"/>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数量</w:t>
            </w:r>
          </w:p>
        </w:tc>
      </w:tr>
      <w:tr w14:paraId="4627E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715" w:type="dxa"/>
            <w:vAlign w:val="center"/>
          </w:tcPr>
          <w:p w14:paraId="6464B360">
            <w:pPr>
              <w:pStyle w:val="13"/>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100" w:type="dxa"/>
            <w:vAlign w:val="center"/>
          </w:tcPr>
          <w:p w14:paraId="536E2463">
            <w:pPr>
              <w:pStyle w:val="13"/>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云计算</w:t>
            </w:r>
          </w:p>
        </w:tc>
        <w:tc>
          <w:tcPr>
            <w:tcW w:w="5446" w:type="dxa"/>
            <w:vAlign w:val="center"/>
          </w:tcPr>
          <w:p w14:paraId="57DDC62A">
            <w:pPr>
              <w:pStyle w:val="13"/>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4vCPU、16G内存、100GB系统盘、1T数据盘，国产</w:t>
            </w:r>
            <w:r>
              <w:rPr>
                <w:rFonts w:hint="eastAsia" w:ascii="仿宋_GB2312" w:hAnsi="仿宋_GB2312" w:eastAsia="仿宋_GB2312" w:cs="仿宋_GB2312"/>
                <w:spacing w:val="-1"/>
                <w:sz w:val="21"/>
                <w:szCs w:val="21"/>
              </w:rPr>
              <w:t>Linux操作系统</w:t>
            </w:r>
          </w:p>
        </w:tc>
        <w:tc>
          <w:tcPr>
            <w:tcW w:w="699" w:type="dxa"/>
            <w:vAlign w:val="center"/>
          </w:tcPr>
          <w:p w14:paraId="3EA7E849">
            <w:pPr>
              <w:pStyle w:val="13"/>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r>
      <w:tr w14:paraId="324B0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715" w:type="dxa"/>
            <w:vAlign w:val="center"/>
          </w:tcPr>
          <w:p w14:paraId="57875E6F">
            <w:pPr>
              <w:pStyle w:val="13"/>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100" w:type="dxa"/>
            <w:vAlign w:val="center"/>
          </w:tcPr>
          <w:p w14:paraId="6EFCC930">
            <w:pPr>
              <w:pStyle w:val="13"/>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云网络</w:t>
            </w:r>
          </w:p>
        </w:tc>
        <w:tc>
          <w:tcPr>
            <w:tcW w:w="5446" w:type="dxa"/>
            <w:vAlign w:val="center"/>
          </w:tcPr>
          <w:p w14:paraId="39F1CB12">
            <w:pPr>
              <w:pStyle w:val="13"/>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弹性公网IP:20M</w:t>
            </w:r>
          </w:p>
        </w:tc>
        <w:tc>
          <w:tcPr>
            <w:tcW w:w="699" w:type="dxa"/>
            <w:vAlign w:val="center"/>
          </w:tcPr>
          <w:p w14:paraId="0029359A">
            <w:pPr>
              <w:pStyle w:val="13"/>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r>
      <w:tr w14:paraId="40104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jc w:val="center"/>
        </w:trPr>
        <w:tc>
          <w:tcPr>
            <w:tcW w:w="715" w:type="dxa"/>
            <w:vAlign w:val="center"/>
          </w:tcPr>
          <w:p w14:paraId="743E9F13">
            <w:pPr>
              <w:pStyle w:val="13"/>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100" w:type="dxa"/>
            <w:vAlign w:val="center"/>
          </w:tcPr>
          <w:p w14:paraId="22D8217C">
            <w:pPr>
              <w:pStyle w:val="13"/>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云安全</w:t>
            </w:r>
          </w:p>
        </w:tc>
        <w:tc>
          <w:tcPr>
            <w:tcW w:w="5446" w:type="dxa"/>
            <w:vAlign w:val="center"/>
          </w:tcPr>
          <w:p w14:paraId="42E420FB">
            <w:pPr>
              <w:pStyle w:val="13"/>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lang w:val="en-US" w:eastAsia="zh-CN"/>
              </w:rPr>
              <w:t>满足网络安全</w:t>
            </w:r>
            <w:r>
              <w:rPr>
                <w:rFonts w:hint="eastAsia" w:ascii="仿宋_GB2312" w:hAnsi="仿宋_GB2312" w:eastAsia="仿宋_GB2312" w:cs="仿宋_GB2312"/>
                <w:spacing w:val="5"/>
                <w:sz w:val="21"/>
                <w:szCs w:val="21"/>
              </w:rPr>
              <w:t>二级</w:t>
            </w:r>
            <w:r>
              <w:rPr>
                <w:rFonts w:hint="eastAsia" w:ascii="仿宋_GB2312" w:hAnsi="仿宋_GB2312" w:eastAsia="仿宋_GB2312" w:cs="仿宋_GB2312"/>
                <w:spacing w:val="5"/>
                <w:sz w:val="21"/>
                <w:szCs w:val="21"/>
                <w:lang w:val="en-US" w:eastAsia="zh-CN"/>
              </w:rPr>
              <w:t>保护测评所需的全部设备</w:t>
            </w:r>
            <w:r>
              <w:rPr>
                <w:rFonts w:hint="eastAsia" w:ascii="仿宋_GB2312" w:hAnsi="仿宋_GB2312" w:eastAsia="仿宋_GB2312" w:cs="仿宋_GB2312"/>
                <w:spacing w:val="5"/>
                <w:sz w:val="21"/>
                <w:szCs w:val="21"/>
              </w:rPr>
              <w:t>(含</w:t>
            </w:r>
            <w:r>
              <w:rPr>
                <w:rFonts w:hint="eastAsia" w:ascii="仿宋_GB2312" w:hAnsi="仿宋_GB2312" w:eastAsia="仿宋_GB2312" w:cs="仿宋_GB2312"/>
                <w:spacing w:val="5"/>
                <w:sz w:val="21"/>
                <w:szCs w:val="21"/>
                <w:lang w:val="en-US" w:eastAsia="zh-CN"/>
              </w:rPr>
              <w:t>不限于防火墙、</w:t>
            </w:r>
            <w:r>
              <w:rPr>
                <w:rFonts w:hint="eastAsia" w:ascii="仿宋_GB2312" w:hAnsi="仿宋_GB2312" w:eastAsia="仿宋_GB2312" w:cs="仿宋_GB2312"/>
                <w:sz w:val="21"/>
                <w:szCs w:val="21"/>
              </w:rPr>
              <w:t>SSL</w:t>
            </w:r>
            <w:r>
              <w:rPr>
                <w:rFonts w:hint="eastAsia" w:ascii="仿宋_GB2312" w:hAnsi="仿宋_GB2312" w:eastAsia="仿宋_GB2312" w:cs="仿宋_GB2312"/>
                <w:spacing w:val="5"/>
                <w:sz w:val="21"/>
                <w:szCs w:val="21"/>
              </w:rPr>
              <w:t>证书</w:t>
            </w:r>
            <w:r>
              <w:rPr>
                <w:rFonts w:hint="eastAsia" w:ascii="仿宋_GB2312" w:hAnsi="仿宋_GB2312" w:eastAsia="仿宋_GB2312" w:cs="仿宋_GB2312"/>
                <w:spacing w:val="5"/>
                <w:sz w:val="21"/>
                <w:szCs w:val="21"/>
                <w:lang w:val="en-US" w:eastAsia="zh-CN"/>
              </w:rPr>
              <w:t>等</w:t>
            </w:r>
            <w:r>
              <w:rPr>
                <w:rFonts w:hint="eastAsia" w:ascii="仿宋_GB2312" w:hAnsi="仿宋_GB2312" w:eastAsia="仿宋_GB2312" w:cs="仿宋_GB2312"/>
                <w:spacing w:val="5"/>
                <w:sz w:val="21"/>
                <w:szCs w:val="21"/>
              </w:rPr>
              <w:t>)</w:t>
            </w:r>
          </w:p>
        </w:tc>
        <w:tc>
          <w:tcPr>
            <w:tcW w:w="699" w:type="dxa"/>
            <w:vAlign w:val="center"/>
          </w:tcPr>
          <w:p w14:paraId="50372268">
            <w:pPr>
              <w:pStyle w:val="13"/>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r>
      <w:tr w14:paraId="4DE65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jc w:val="center"/>
        </w:trPr>
        <w:tc>
          <w:tcPr>
            <w:tcW w:w="715" w:type="dxa"/>
            <w:vAlign w:val="center"/>
          </w:tcPr>
          <w:p w14:paraId="0EEA0EEE">
            <w:pPr>
              <w:pStyle w:val="13"/>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1100" w:type="dxa"/>
            <w:vAlign w:val="center"/>
          </w:tcPr>
          <w:p w14:paraId="3E0ED185">
            <w:pPr>
              <w:pStyle w:val="13"/>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网站运维</w:t>
            </w:r>
          </w:p>
        </w:tc>
        <w:tc>
          <w:tcPr>
            <w:tcW w:w="5446" w:type="dxa"/>
            <w:vAlign w:val="center"/>
          </w:tcPr>
          <w:p w14:paraId="4D878696">
            <w:pPr>
              <w:pStyle w:val="13"/>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包含数据迁移、备份、界面修改、故障排除等</w:t>
            </w:r>
          </w:p>
        </w:tc>
        <w:tc>
          <w:tcPr>
            <w:tcW w:w="699" w:type="dxa"/>
            <w:vAlign w:val="center"/>
          </w:tcPr>
          <w:p w14:paraId="4E579460">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r>
      <w:tr w14:paraId="40F2B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jc w:val="center"/>
        </w:trPr>
        <w:tc>
          <w:tcPr>
            <w:tcW w:w="715" w:type="dxa"/>
            <w:vAlign w:val="center"/>
          </w:tcPr>
          <w:p w14:paraId="7EE17B9C">
            <w:pPr>
              <w:pStyle w:val="13"/>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1100" w:type="dxa"/>
            <w:vAlign w:val="center"/>
          </w:tcPr>
          <w:p w14:paraId="05D42DB3">
            <w:pPr>
              <w:pStyle w:val="13"/>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default"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其他服务</w:t>
            </w:r>
          </w:p>
        </w:tc>
        <w:tc>
          <w:tcPr>
            <w:tcW w:w="5446" w:type="dxa"/>
            <w:vAlign w:val="center"/>
          </w:tcPr>
          <w:p w14:paraId="3CF4F338">
            <w:pPr>
              <w:pStyle w:val="13"/>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default" w:ascii="仿宋_GB2312" w:hAnsi="仿宋_GB2312" w:eastAsia="仿宋_GB2312" w:cs="仿宋_GB2312"/>
                <w:spacing w:val="-1"/>
                <w:sz w:val="21"/>
                <w:szCs w:val="21"/>
                <w:lang w:val="en-US" w:eastAsia="zh-CN"/>
              </w:rPr>
            </w:pPr>
            <w:r>
              <w:rPr>
                <w:rFonts w:hint="eastAsia" w:ascii="仿宋_GB2312" w:hAnsi="仿宋_GB2312" w:eastAsia="仿宋_GB2312" w:cs="仿宋_GB2312"/>
                <w:spacing w:val="-1"/>
                <w:sz w:val="21"/>
                <w:szCs w:val="21"/>
                <w:lang w:val="en-US" w:eastAsia="zh-CN"/>
              </w:rPr>
              <w:t>协助学院完成网络安全等级测评、协助完成重要时间节点网络安全保障</w:t>
            </w:r>
          </w:p>
        </w:tc>
        <w:tc>
          <w:tcPr>
            <w:tcW w:w="699" w:type="dxa"/>
            <w:vAlign w:val="center"/>
          </w:tcPr>
          <w:p w14:paraId="5AC8E7CE">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r>
    </w:tbl>
    <w:p w14:paraId="6B2B04E6">
      <w:pPr>
        <w:pageBreakBefore w:val="0"/>
        <w:widowControl/>
        <w:wordWrap/>
        <w:overflowPunct/>
        <w:topLinePunct w:val="0"/>
        <w:autoSpaceDE w:val="0"/>
        <w:autoSpaceDN w:val="0"/>
        <w:bidi w:val="0"/>
        <w:adjustRightInd w:val="0"/>
        <w:snapToGrid w:val="0"/>
        <w:spacing w:line="560" w:lineRule="exact"/>
        <w:ind w:firstLine="422" w:firstLineChars="200"/>
        <w:textAlignment w:val="baseline"/>
        <w:rPr>
          <w:rFonts w:hint="default" w:ascii="仿宋_GB2312" w:hAnsi="仿宋_GB2312" w:eastAsia="仿宋_GB2312" w:cs="仿宋_GB2312"/>
          <w:b/>
          <w:bCs/>
          <w:color w:val="FF0000"/>
          <w:sz w:val="21"/>
          <w:szCs w:val="21"/>
          <w:lang w:val="en-US" w:eastAsia="zh-CN"/>
        </w:rPr>
      </w:pPr>
      <w:r>
        <w:rPr>
          <w:rFonts w:hint="eastAsia" w:ascii="仿宋_GB2312" w:hAnsi="仿宋_GB2312" w:eastAsia="仿宋_GB2312" w:cs="仿宋_GB2312"/>
          <w:b/>
          <w:bCs/>
          <w:color w:val="FF0000"/>
          <w:sz w:val="21"/>
          <w:szCs w:val="21"/>
          <w:lang w:val="en-US" w:eastAsia="zh-CN"/>
        </w:rPr>
        <w:t>以上内容必须全部满足，验收结果以等保测评机构的报告为准。</w:t>
      </w:r>
    </w:p>
    <w:p w14:paraId="1EB7F06C">
      <w:pPr>
        <w:pageBreakBefore w:val="0"/>
        <w:widowControl/>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2.服务期限要求</w:t>
      </w:r>
    </w:p>
    <w:p w14:paraId="2E69E787">
      <w:pPr>
        <w:pageBreakBefore w:val="0"/>
        <w:widowControl/>
        <w:suppressAutoHyphen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官网测评通过后2年（其中测评时间不超过60日）</w:t>
      </w:r>
      <w:r>
        <w:rPr>
          <w:rFonts w:hint="eastAsia" w:ascii="仿宋_GB2312" w:hAnsi="仿宋_GB2312" w:eastAsia="仿宋_GB2312" w:cs="仿宋_GB2312"/>
          <w:color w:val="auto"/>
          <w:sz w:val="32"/>
          <w:szCs w:val="32"/>
          <w:lang w:eastAsia="zh-CN"/>
        </w:rPr>
        <w:t>。</w:t>
      </w:r>
    </w:p>
    <w:p w14:paraId="1F7E3694">
      <w:pPr>
        <w:pageBreakBefore w:val="0"/>
        <w:widowControl/>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3.服务地点</w:t>
      </w:r>
    </w:p>
    <w:p w14:paraId="7D3264FF">
      <w:pPr>
        <w:pageBreakBefore w:val="0"/>
        <w:widowControl/>
        <w:suppressAutoHyphen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贵州省毕节市职教城文翰路毕节工业职业技术学院。</w:t>
      </w:r>
    </w:p>
    <w:p w14:paraId="7A150DF5">
      <w:pPr>
        <w:pageBreakBefore w:val="0"/>
        <w:widowControl/>
        <w:numPr>
          <w:ilvl w:val="0"/>
          <w:numId w:val="2"/>
        </w:numPr>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服务要求</w:t>
      </w:r>
    </w:p>
    <w:p w14:paraId="5A165E4B">
      <w:pPr>
        <w:pageBreakBefore w:val="0"/>
        <w:widowControl/>
        <w:suppressAutoHyphens/>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提供网站安全保障服务、网站运维；安排人员协助学院做好值班时技术支撑。</w:t>
      </w:r>
    </w:p>
    <w:p w14:paraId="7488D441">
      <w:pPr>
        <w:pStyle w:val="6"/>
        <w:pageBreakBefore w:val="0"/>
        <w:widowControl/>
        <w:wordWrap/>
        <w:overflowPunct/>
        <w:topLinePunct w:val="0"/>
        <w:autoSpaceDE w:val="0"/>
        <w:autoSpaceDN w:val="0"/>
        <w:bidi w:val="0"/>
        <w:adjustRightInd w:val="0"/>
        <w:snapToGrid w:val="0"/>
        <w:spacing w:line="560" w:lineRule="exact"/>
        <w:ind w:firstLine="643"/>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、评标方法</w:t>
      </w:r>
    </w:p>
    <w:p w14:paraId="799C1582">
      <w:pPr>
        <w:pageBreakBefore w:val="0"/>
        <w:widowControl/>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本次评标办法：综合评分法</w:t>
      </w:r>
    </w:p>
    <w:p w14:paraId="7B01E1D3">
      <w:pPr>
        <w:pStyle w:val="6"/>
        <w:pageBreakBefore w:val="0"/>
        <w:widowControl/>
        <w:wordWrap/>
        <w:overflowPunct/>
        <w:topLinePunct w:val="0"/>
        <w:autoSpaceDE w:val="0"/>
        <w:autoSpaceDN w:val="0"/>
        <w:bidi w:val="0"/>
        <w:adjustRightInd w:val="0"/>
        <w:snapToGrid w:val="0"/>
        <w:spacing w:line="560" w:lineRule="exact"/>
        <w:ind w:firstLine="643"/>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 评分方案</w:t>
      </w:r>
    </w:p>
    <w:p w14:paraId="2858DC0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报价</w:t>
      </w:r>
      <w:r>
        <w:rPr>
          <w:rFonts w:hint="default" w:ascii="仿宋_GB2312" w:hAnsi="仿宋_GB2312" w:eastAsia="仿宋_GB2312" w:cs="仿宋_GB2312"/>
          <w:color w:val="auto"/>
          <w:sz w:val="32"/>
          <w:szCs w:val="32"/>
          <w:lang w:eastAsia="zh-CN"/>
        </w:rPr>
        <w:t>评分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满分2</w:t>
      </w:r>
      <w:r>
        <w:rPr>
          <w:rFonts w:hint="default" w:ascii="仿宋_GB2312" w:hAnsi="仿宋_GB2312" w:eastAsia="仿宋_GB2312" w:cs="仿宋_GB2312"/>
          <w:color w:val="auto"/>
          <w:sz w:val="32"/>
          <w:szCs w:val="32"/>
          <w:lang w:eastAsia="zh-CN"/>
        </w:rPr>
        <w:t>0分</w:t>
      </w:r>
      <w:r>
        <w:rPr>
          <w:rFonts w:hint="eastAsia" w:ascii="仿宋_GB2312" w:hAnsi="仿宋_GB2312" w:eastAsia="仿宋_GB2312" w:cs="仿宋_GB2312"/>
          <w:color w:val="auto"/>
          <w:sz w:val="32"/>
          <w:szCs w:val="32"/>
          <w:lang w:eastAsia="zh-CN"/>
        </w:rPr>
        <w:t>）</w:t>
      </w:r>
    </w:p>
    <w:p w14:paraId="76612F30">
      <w:pPr>
        <w:keepNext w:val="0"/>
        <w:keepLines w:val="0"/>
        <w:pageBreakBefore w:val="0"/>
        <w:widowControl/>
        <w:kinsoku w:val="0"/>
        <w:wordWrap/>
        <w:overflowPunct/>
        <w:topLinePunct w:val="0"/>
        <w:autoSpaceDE w:val="0"/>
        <w:autoSpaceDN w:val="0"/>
        <w:bidi w:val="0"/>
        <w:adjustRightInd w:val="0"/>
        <w:snapToGrid w:val="0"/>
        <w:spacing w:line="240" w:lineRule="auto"/>
        <w:ind w:firstLine="640" w:firstLineChars="200"/>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评审原则为：价格分统一采用低价优先法计算，即满足磋商文件要求且最后报价最低的供应商的价格为磋商基准价，其价格分为满分。其他供应商的价格分统一按照下列公式计算：</w:t>
      </w:r>
    </w:p>
    <w:p w14:paraId="5D3EDBB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仿宋_GB2312" w:eastAsia="仿宋_GB2312" w:cs="仿宋_GB2312"/>
          <w:color w:val="auto"/>
          <w:sz w:val="32"/>
          <w:szCs w:val="32"/>
          <w:lang w:eastAsia="zh-CN"/>
        </w:rPr>
      </w:pPr>
      <m:oMath>
        <m:r>
          <m:rPr>
            <m:sty m:val="p"/>
          </m:rPr>
          <w:rPr>
            <w:rFonts w:hint="eastAsia" w:ascii="Cambria Math" w:hAnsi="Cambria Math" w:eastAsia="仿宋_GB2312" w:cs="仿宋_GB2312"/>
            <w:color w:val="auto"/>
            <w:sz w:val="32"/>
            <w:szCs w:val="32"/>
            <w:lang w:val="en-US" w:eastAsia="zh-CN"/>
          </w:rPr>
          <m:t>报价得分</m:t>
        </m:r>
        <m:r>
          <m:rPr>
            <m:sty m:val="p"/>
          </m:rPr>
          <w:rPr>
            <w:rFonts w:hint="eastAsia" w:ascii="Cambria Math" w:hAnsi="Cambria Math" w:eastAsia="仿宋_GB2312" w:cs="仿宋_GB2312"/>
            <w:color w:val="auto"/>
            <w:sz w:val="32"/>
            <w:szCs w:val="32"/>
            <w:lang w:val="zh-CN" w:eastAsia="zh-CN"/>
          </w:rPr>
          <m:t>=</m:t>
        </m:r>
        <m:f>
          <m:fPr>
            <m:ctrlPr>
              <w:rPr>
                <w:rFonts w:hint="eastAsia" w:ascii="Cambria Math" w:hAnsi="Cambria Math" w:eastAsia="仿宋_GB2312" w:cs="仿宋_GB2312"/>
                <w:color w:val="auto"/>
                <w:sz w:val="32"/>
                <w:szCs w:val="32"/>
                <w:lang w:val="zh-CN" w:eastAsia="zh-CN"/>
              </w:rPr>
            </m:ctrlPr>
          </m:fPr>
          <m:num>
            <m:r>
              <m:rPr>
                <m:sty m:val="p"/>
              </m:rPr>
              <w:rPr>
                <w:rFonts w:hint="eastAsia" w:ascii="Cambria Math" w:hAnsi="Cambria Math" w:eastAsia="仿宋_GB2312" w:cs="仿宋_GB2312"/>
                <w:color w:val="auto"/>
                <w:sz w:val="32"/>
                <w:szCs w:val="32"/>
                <w:lang w:val="en-US" w:eastAsia="zh-CN"/>
              </w:rPr>
              <m:t>磋商基准价</m:t>
            </m:r>
            <m:ctrlPr>
              <w:rPr>
                <w:rFonts w:hint="eastAsia" w:ascii="Cambria Math" w:hAnsi="Cambria Math" w:eastAsia="仿宋_GB2312" w:cs="仿宋_GB2312"/>
                <w:color w:val="auto"/>
                <w:sz w:val="32"/>
                <w:szCs w:val="32"/>
                <w:lang w:val="zh-CN" w:eastAsia="zh-CN"/>
              </w:rPr>
            </m:ctrlPr>
          </m:num>
          <m:den>
            <m:r>
              <m:rPr>
                <m:sty m:val="p"/>
              </m:rPr>
              <w:rPr>
                <w:rFonts w:hint="eastAsia" w:ascii="Cambria Math" w:hAnsi="Cambria Math" w:eastAsia="仿宋_GB2312" w:cs="仿宋_GB2312"/>
                <w:color w:val="auto"/>
                <w:sz w:val="32"/>
                <w:szCs w:val="32"/>
                <w:lang w:val="en-US" w:eastAsia="zh-CN"/>
              </w:rPr>
              <m:t>供应商最终报价</m:t>
            </m:r>
            <m:ctrlPr>
              <w:rPr>
                <w:rFonts w:hint="eastAsia" w:ascii="Cambria Math" w:hAnsi="Cambria Math" w:eastAsia="仿宋_GB2312" w:cs="仿宋_GB2312"/>
                <w:color w:val="auto"/>
                <w:sz w:val="32"/>
                <w:szCs w:val="32"/>
                <w:lang w:val="zh-CN" w:eastAsia="zh-CN"/>
              </w:rPr>
            </m:ctrlPr>
          </m:den>
        </m:f>
      </m:oMath>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lang w:eastAsia="zh-CN"/>
        </w:rPr>
        <w:t>0</w:t>
      </w:r>
    </w:p>
    <w:p w14:paraId="7A4E4607">
      <w:pPr>
        <w:keepNext w:val="0"/>
        <w:keepLines w:val="0"/>
        <w:pageBreakBefore w:val="0"/>
        <w:widowControl/>
        <w:kinsoku w:val="0"/>
        <w:wordWrap/>
        <w:overflowPunct/>
        <w:topLinePunct w:val="0"/>
        <w:autoSpaceDE w:val="0"/>
        <w:autoSpaceDN w:val="0"/>
        <w:bidi w:val="0"/>
        <w:adjustRightInd w:val="0"/>
        <w:snapToGrid w:val="0"/>
        <w:spacing w:line="560" w:lineRule="exact"/>
        <w:ind w:firstLine="422" w:firstLineChars="200"/>
        <w:textAlignment w:val="baseline"/>
        <w:rPr>
          <w:rFonts w:hint="eastAsia" w:ascii="仿宋_GB2312" w:hAnsi="仿宋_GB2312" w:eastAsia="仿宋_GB2312" w:cs="仿宋_GB2312"/>
          <w:b/>
          <w:bCs/>
          <w:color w:val="auto"/>
          <w:sz w:val="21"/>
          <w:szCs w:val="21"/>
          <w:lang w:eastAsia="zh-CN"/>
        </w:rPr>
      </w:pPr>
      <w:r>
        <w:rPr>
          <w:rFonts w:hint="eastAsia" w:ascii="仿宋_GB2312" w:hAnsi="仿宋_GB2312" w:eastAsia="仿宋_GB2312" w:cs="仿宋_GB2312"/>
          <w:b/>
          <w:bCs/>
          <w:color w:val="auto"/>
          <w:sz w:val="21"/>
          <w:szCs w:val="21"/>
          <w:lang w:eastAsia="zh-CN"/>
        </w:rPr>
        <w:t>注：因落实政府采购政策进行价格调整的，以调整后的价格计算评标基准价和磋商报价；磋商报价金额大写与小写不一致的，以大写为准，按单价计算金额与总报价不一致的，以按单价计算金额为准。</w:t>
      </w:r>
    </w:p>
    <w:p w14:paraId="1A7F367B">
      <w:pPr>
        <w:pageBreakBefore w:val="0"/>
        <w:widowControl/>
        <w:numPr>
          <w:ilvl w:val="0"/>
          <w:numId w:val="3"/>
        </w:numPr>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技术评分（</w:t>
      </w:r>
      <w:r>
        <w:rPr>
          <w:rFonts w:hint="default"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满分55分）</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1400"/>
        <w:gridCol w:w="688"/>
        <w:gridCol w:w="5323"/>
        <w:gridCol w:w="487"/>
      </w:tblGrid>
      <w:tr w14:paraId="1DD2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vAlign w:val="center"/>
          </w:tcPr>
          <w:p w14:paraId="5D364B46">
            <w:pPr>
              <w:widowControl w:val="0"/>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序号</w:t>
            </w:r>
          </w:p>
        </w:tc>
        <w:tc>
          <w:tcPr>
            <w:tcW w:w="1400" w:type="dxa"/>
            <w:vAlign w:val="center"/>
          </w:tcPr>
          <w:p w14:paraId="51FB16D6">
            <w:pPr>
              <w:widowControl w:val="0"/>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评分项目</w:t>
            </w:r>
          </w:p>
        </w:tc>
        <w:tc>
          <w:tcPr>
            <w:tcW w:w="688" w:type="dxa"/>
            <w:vAlign w:val="center"/>
          </w:tcPr>
          <w:p w14:paraId="1BFD7630">
            <w:pPr>
              <w:widowControl w:val="0"/>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分值</w:t>
            </w:r>
          </w:p>
        </w:tc>
        <w:tc>
          <w:tcPr>
            <w:tcW w:w="5323" w:type="dxa"/>
            <w:vAlign w:val="center"/>
          </w:tcPr>
          <w:p w14:paraId="077094FD">
            <w:pPr>
              <w:widowControl w:val="0"/>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评分说明</w:t>
            </w:r>
          </w:p>
        </w:tc>
        <w:tc>
          <w:tcPr>
            <w:tcW w:w="0" w:type="auto"/>
            <w:vAlign w:val="center"/>
          </w:tcPr>
          <w:p w14:paraId="56F5C65B">
            <w:pPr>
              <w:widowControl w:val="0"/>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备注</w:t>
            </w:r>
          </w:p>
        </w:tc>
      </w:tr>
      <w:tr w14:paraId="52F96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vAlign w:val="center"/>
          </w:tcPr>
          <w:p w14:paraId="22B1A896">
            <w:pPr>
              <w:widowControl w:val="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w:t>
            </w:r>
          </w:p>
        </w:tc>
        <w:tc>
          <w:tcPr>
            <w:tcW w:w="1400" w:type="dxa"/>
            <w:vAlign w:val="center"/>
          </w:tcPr>
          <w:p w14:paraId="4691E504">
            <w:pPr>
              <w:widowControl w:val="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技术参数</w:t>
            </w:r>
          </w:p>
        </w:tc>
        <w:tc>
          <w:tcPr>
            <w:tcW w:w="688" w:type="dxa"/>
            <w:vAlign w:val="center"/>
          </w:tcPr>
          <w:p w14:paraId="6FADC686">
            <w:pPr>
              <w:widowControl w:val="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30</w:t>
            </w:r>
          </w:p>
        </w:tc>
        <w:tc>
          <w:tcPr>
            <w:tcW w:w="5323" w:type="dxa"/>
            <w:vAlign w:val="center"/>
          </w:tcPr>
          <w:p w14:paraId="2B581FFA">
            <w:pPr>
              <w:widowControl w:val="0"/>
              <w:jc w:val="both"/>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供应商所提供标的物技术指标全部满足或优于采购清内容技术要求的，得满分10分；不满足不得分。</w:t>
            </w:r>
          </w:p>
        </w:tc>
        <w:tc>
          <w:tcPr>
            <w:tcW w:w="0" w:type="auto"/>
            <w:vAlign w:val="center"/>
          </w:tcPr>
          <w:p w14:paraId="73B6AB75">
            <w:pPr>
              <w:widowControl w:val="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w:t>
            </w:r>
          </w:p>
        </w:tc>
      </w:tr>
      <w:tr w14:paraId="303AB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 w:type="dxa"/>
            <w:vAlign w:val="center"/>
          </w:tcPr>
          <w:p w14:paraId="1018F97F">
            <w:pPr>
              <w:widowControl w:val="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2</w:t>
            </w:r>
          </w:p>
        </w:tc>
        <w:tc>
          <w:tcPr>
            <w:tcW w:w="1400" w:type="dxa"/>
            <w:vAlign w:val="center"/>
          </w:tcPr>
          <w:p w14:paraId="4C81CF26">
            <w:pPr>
              <w:widowControl w:val="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总体技术方案</w:t>
            </w:r>
          </w:p>
        </w:tc>
        <w:tc>
          <w:tcPr>
            <w:tcW w:w="688" w:type="dxa"/>
            <w:vAlign w:val="center"/>
          </w:tcPr>
          <w:p w14:paraId="58D451EA">
            <w:pPr>
              <w:widowControl w:val="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5</w:t>
            </w:r>
          </w:p>
        </w:tc>
        <w:tc>
          <w:tcPr>
            <w:tcW w:w="5323" w:type="dxa"/>
            <w:vAlign w:val="center"/>
          </w:tcPr>
          <w:p w14:paraId="46D81D5E">
            <w:pPr>
              <w:widowControl w:val="0"/>
              <w:jc w:val="both"/>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供应商应充分了解本项目技术要求，对本次项目实施及服务进行技术方案响应，根据供应商提供的项目总体技术方案进行综合打分。优：5-4；一般：3-2；差：1-0分。</w:t>
            </w:r>
          </w:p>
        </w:tc>
        <w:tc>
          <w:tcPr>
            <w:tcW w:w="0" w:type="auto"/>
            <w:vAlign w:val="center"/>
          </w:tcPr>
          <w:p w14:paraId="00E1B0E8">
            <w:pPr>
              <w:widowControl w:val="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w:t>
            </w:r>
          </w:p>
        </w:tc>
      </w:tr>
      <w:tr w14:paraId="3EAD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618" w:type="dxa"/>
            <w:vAlign w:val="center"/>
          </w:tcPr>
          <w:p w14:paraId="04152D83">
            <w:pPr>
              <w:widowControl w:val="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3</w:t>
            </w:r>
          </w:p>
        </w:tc>
        <w:tc>
          <w:tcPr>
            <w:tcW w:w="1400" w:type="dxa"/>
            <w:vAlign w:val="center"/>
          </w:tcPr>
          <w:p w14:paraId="0C9CD239">
            <w:pPr>
              <w:widowControl w:val="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售后服务措施和方案</w:t>
            </w:r>
          </w:p>
        </w:tc>
        <w:tc>
          <w:tcPr>
            <w:tcW w:w="688" w:type="dxa"/>
            <w:vAlign w:val="center"/>
          </w:tcPr>
          <w:p w14:paraId="095537CF">
            <w:pPr>
              <w:widowControl w:val="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5</w:t>
            </w:r>
          </w:p>
        </w:tc>
        <w:tc>
          <w:tcPr>
            <w:tcW w:w="5323" w:type="dxa"/>
            <w:vAlign w:val="center"/>
          </w:tcPr>
          <w:p w14:paraId="6597511B">
            <w:pPr>
              <w:widowControl w:val="0"/>
              <w:jc w:val="both"/>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供应商应针对项目提出完善的售后服务措施及方案，保障项目服务质量，根据供应商的售后服务措施和方案综合打分。优:5-4；一般：3-2；差：1-0分。</w:t>
            </w:r>
          </w:p>
        </w:tc>
        <w:tc>
          <w:tcPr>
            <w:tcW w:w="0" w:type="auto"/>
            <w:vAlign w:val="center"/>
          </w:tcPr>
          <w:p w14:paraId="648F742E">
            <w:pPr>
              <w:widowControl w:val="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w:t>
            </w:r>
          </w:p>
        </w:tc>
      </w:tr>
      <w:tr w14:paraId="31D39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618" w:type="dxa"/>
            <w:vAlign w:val="center"/>
          </w:tcPr>
          <w:p w14:paraId="7008D68E">
            <w:pPr>
              <w:widowControl w:val="0"/>
              <w:jc w:val="center"/>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4</w:t>
            </w:r>
          </w:p>
        </w:tc>
        <w:tc>
          <w:tcPr>
            <w:tcW w:w="1400" w:type="dxa"/>
            <w:vAlign w:val="center"/>
          </w:tcPr>
          <w:p w14:paraId="541205AB">
            <w:pPr>
              <w:widowControl w:val="0"/>
              <w:jc w:val="center"/>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安全服务保障</w:t>
            </w:r>
          </w:p>
        </w:tc>
        <w:tc>
          <w:tcPr>
            <w:tcW w:w="688" w:type="dxa"/>
            <w:vAlign w:val="center"/>
          </w:tcPr>
          <w:p w14:paraId="43C3624B">
            <w:pPr>
              <w:widowControl w:val="0"/>
              <w:jc w:val="center"/>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15</w:t>
            </w:r>
          </w:p>
        </w:tc>
        <w:tc>
          <w:tcPr>
            <w:tcW w:w="5323" w:type="dxa"/>
            <w:vAlign w:val="center"/>
          </w:tcPr>
          <w:p w14:paraId="0BBAB64F">
            <w:pPr>
              <w:pStyle w:val="2"/>
              <w:widowControl w:val="0"/>
              <w:rPr>
                <w:rFonts w:hint="default"/>
                <w:lang w:val="en-US" w:eastAsia="zh-CN"/>
              </w:rPr>
            </w:pPr>
            <w:r>
              <w:rPr>
                <w:rFonts w:hint="eastAsia" w:ascii="仿宋_GB2312" w:hAnsi="仿宋_GB2312" w:eastAsia="仿宋_GB2312" w:cs="仿宋_GB2312"/>
                <w:b w:val="0"/>
                <w:bCs w:val="0"/>
                <w:sz w:val="21"/>
                <w:szCs w:val="21"/>
                <w:vertAlign w:val="baseline"/>
                <w:lang w:val="en-US" w:eastAsia="zh-CN"/>
              </w:rPr>
              <w:t>投标企业使用本公司云服务产品参与投标得15分.提供相关证明材料。</w:t>
            </w:r>
          </w:p>
        </w:tc>
        <w:tc>
          <w:tcPr>
            <w:tcW w:w="0" w:type="auto"/>
            <w:vAlign w:val="center"/>
          </w:tcPr>
          <w:p w14:paraId="17C967FB">
            <w:pPr>
              <w:widowControl w:val="0"/>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w:t>
            </w:r>
          </w:p>
        </w:tc>
      </w:tr>
    </w:tbl>
    <w:p w14:paraId="0DA30142">
      <w:pPr>
        <w:rPr>
          <w:rFonts w:hint="eastAsia"/>
          <w:lang w:val="en-US" w:eastAsia="zh-CN"/>
        </w:rPr>
      </w:pPr>
    </w:p>
    <w:p w14:paraId="2768C2F3">
      <w:pPr>
        <w:pStyle w:val="2"/>
        <w:rPr>
          <w:rFonts w:hint="eastAsia"/>
          <w:lang w:val="en-US" w:eastAsia="zh-CN"/>
        </w:rPr>
      </w:pPr>
    </w:p>
    <w:p w14:paraId="0F33B4C4">
      <w:pPr>
        <w:pageBreakBefore w:val="0"/>
        <w:widowControl/>
        <w:numPr>
          <w:ilvl w:val="0"/>
          <w:numId w:val="3"/>
        </w:numPr>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bookmarkStart w:id="0" w:name="_Toc25763"/>
      <w:r>
        <w:rPr>
          <w:rFonts w:hint="eastAsia" w:ascii="仿宋_GB2312" w:hAnsi="仿宋_GB2312" w:eastAsia="仿宋_GB2312" w:cs="仿宋_GB2312"/>
          <w:color w:val="auto"/>
          <w:sz w:val="32"/>
          <w:szCs w:val="32"/>
          <w:lang w:val="en-US" w:eastAsia="zh-CN"/>
        </w:rPr>
        <w:t>商务评分（满分25分）</w:t>
      </w:r>
      <w:bookmarkEnd w:id="0"/>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
        <w:gridCol w:w="1699"/>
        <w:gridCol w:w="812"/>
        <w:gridCol w:w="5031"/>
        <w:gridCol w:w="487"/>
      </w:tblGrid>
      <w:tr w14:paraId="7A1F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D0286A7">
            <w:pPr>
              <w:widowControl w:val="0"/>
              <w:jc w:val="center"/>
              <w:rPr>
                <w:rFonts w:hint="default"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序号</w:t>
            </w:r>
          </w:p>
        </w:tc>
        <w:tc>
          <w:tcPr>
            <w:tcW w:w="1700" w:type="dxa"/>
            <w:vAlign w:val="center"/>
          </w:tcPr>
          <w:p w14:paraId="48A13561">
            <w:pPr>
              <w:widowControl w:val="0"/>
              <w:jc w:val="center"/>
              <w:rPr>
                <w:rFonts w:hint="default"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评分项目</w:t>
            </w:r>
          </w:p>
        </w:tc>
        <w:tc>
          <w:tcPr>
            <w:tcW w:w="812" w:type="dxa"/>
            <w:vAlign w:val="center"/>
          </w:tcPr>
          <w:p w14:paraId="2E98A2CF">
            <w:pPr>
              <w:widowControl w:val="0"/>
              <w:jc w:val="center"/>
              <w:rPr>
                <w:rFonts w:hint="default"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分值</w:t>
            </w:r>
          </w:p>
        </w:tc>
        <w:tc>
          <w:tcPr>
            <w:tcW w:w="0" w:type="auto"/>
            <w:vAlign w:val="center"/>
          </w:tcPr>
          <w:p w14:paraId="70F666F2">
            <w:pPr>
              <w:widowControl w:val="0"/>
              <w:jc w:val="center"/>
              <w:rPr>
                <w:rFonts w:hint="default"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评分说明</w:t>
            </w:r>
          </w:p>
        </w:tc>
        <w:tc>
          <w:tcPr>
            <w:tcW w:w="0" w:type="auto"/>
            <w:vAlign w:val="center"/>
          </w:tcPr>
          <w:p w14:paraId="58C71977">
            <w:pPr>
              <w:widowControl w:val="0"/>
              <w:jc w:val="center"/>
              <w:rPr>
                <w:rFonts w:hint="default"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备注</w:t>
            </w:r>
          </w:p>
        </w:tc>
      </w:tr>
      <w:tr w14:paraId="09D41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trPr>
        <w:tc>
          <w:tcPr>
            <w:tcW w:w="0" w:type="auto"/>
            <w:vAlign w:val="center"/>
          </w:tcPr>
          <w:p w14:paraId="3DBA146F">
            <w:pPr>
              <w:widowControl w:val="0"/>
              <w:jc w:val="center"/>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w:t>
            </w:r>
          </w:p>
        </w:tc>
        <w:tc>
          <w:tcPr>
            <w:tcW w:w="1700" w:type="dxa"/>
            <w:vAlign w:val="center"/>
          </w:tcPr>
          <w:p w14:paraId="38037B18">
            <w:pPr>
              <w:widowControl w:val="0"/>
              <w:jc w:val="center"/>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项目团队</w:t>
            </w:r>
          </w:p>
        </w:tc>
        <w:tc>
          <w:tcPr>
            <w:tcW w:w="812" w:type="dxa"/>
            <w:vAlign w:val="center"/>
          </w:tcPr>
          <w:p w14:paraId="718D96CF">
            <w:pPr>
              <w:widowControl w:val="0"/>
              <w:jc w:val="center"/>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8</w:t>
            </w:r>
          </w:p>
        </w:tc>
        <w:tc>
          <w:tcPr>
            <w:tcW w:w="0" w:type="auto"/>
            <w:vAlign w:val="center"/>
          </w:tcPr>
          <w:p w14:paraId="0F19E30D">
            <w:pPr>
              <w:widowControl w:val="0"/>
              <w:jc w:val="both"/>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1.供应商拟投入本项目的项目经理需具备项目管理类中级及以上认证：PMP认证、云计算中级认证、通信工程师、ITSS服务工程师认证。同时具备得4分，缺一项扣1分。</w:t>
            </w:r>
          </w:p>
          <w:p w14:paraId="77445B39">
            <w:pPr>
              <w:widowControl w:val="0"/>
              <w:jc w:val="both"/>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2.供应商拟投入本项目的服务工程师不少于3人，每提供一名得1分，最高得4分。</w:t>
            </w:r>
          </w:p>
          <w:p w14:paraId="5E7856C5">
            <w:pPr>
              <w:widowControl w:val="0"/>
              <w:jc w:val="both"/>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注：提供项目团队成员身份证、</w:t>
            </w:r>
            <w:bookmarkStart w:id="1" w:name="_GoBack"/>
            <w:bookmarkEnd w:id="1"/>
            <w:r>
              <w:rPr>
                <w:rFonts w:hint="eastAsia" w:ascii="仿宋_GB2312" w:hAnsi="仿宋_GB2312" w:eastAsia="仿宋_GB2312" w:cs="仿宋_GB2312"/>
                <w:b w:val="0"/>
                <w:bCs w:val="0"/>
                <w:sz w:val="21"/>
                <w:szCs w:val="21"/>
                <w:vertAlign w:val="baseline"/>
                <w:lang w:val="en-US" w:eastAsia="zh-CN"/>
              </w:rPr>
              <w:t>证书扫描件及2023年至今任意三个月社保缴纳凭证（社保缴纳单位需为对应供应商）。</w:t>
            </w:r>
          </w:p>
        </w:tc>
        <w:tc>
          <w:tcPr>
            <w:tcW w:w="0" w:type="auto"/>
            <w:vAlign w:val="center"/>
          </w:tcPr>
          <w:p w14:paraId="5EC4742D">
            <w:pPr>
              <w:widowControl w:val="0"/>
              <w:jc w:val="both"/>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w:t>
            </w:r>
          </w:p>
        </w:tc>
      </w:tr>
      <w:tr w14:paraId="632C1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14:paraId="3C2B1740">
            <w:pPr>
              <w:widowControl w:val="0"/>
              <w:jc w:val="center"/>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2</w:t>
            </w:r>
          </w:p>
        </w:tc>
        <w:tc>
          <w:tcPr>
            <w:tcW w:w="1700" w:type="dxa"/>
            <w:vAlign w:val="center"/>
          </w:tcPr>
          <w:p w14:paraId="457D6C8C">
            <w:pPr>
              <w:widowControl w:val="0"/>
              <w:jc w:val="center"/>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本地服务响应</w:t>
            </w:r>
          </w:p>
        </w:tc>
        <w:tc>
          <w:tcPr>
            <w:tcW w:w="812" w:type="dxa"/>
            <w:vAlign w:val="center"/>
          </w:tcPr>
          <w:p w14:paraId="12E13A3A">
            <w:pPr>
              <w:widowControl w:val="0"/>
              <w:jc w:val="center"/>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5</w:t>
            </w:r>
          </w:p>
        </w:tc>
        <w:tc>
          <w:tcPr>
            <w:tcW w:w="0" w:type="auto"/>
            <w:vAlign w:val="center"/>
          </w:tcPr>
          <w:p w14:paraId="29BB35F1">
            <w:pPr>
              <w:widowControl w:val="0"/>
              <w:jc w:val="both"/>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供应商承诺：</w:t>
            </w:r>
          </w:p>
          <w:p w14:paraId="7FA48552">
            <w:pPr>
              <w:widowControl w:val="0"/>
              <w:jc w:val="both"/>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①专业技术人员在1小时内响应，2小时内到达采购人指定地点开始着手解决问题的得3分；</w:t>
            </w:r>
          </w:p>
          <w:p w14:paraId="79BB49BB">
            <w:pPr>
              <w:widowControl w:val="0"/>
              <w:jc w:val="both"/>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②专业技术人员在2小时内响应，4小时内到达采购人指定地点开始着手解决问题的得2分。</w:t>
            </w:r>
          </w:p>
          <w:p w14:paraId="2D4139D9">
            <w:pPr>
              <w:widowControl w:val="0"/>
              <w:jc w:val="both"/>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③专业技术人员在4小时以内响应，6小时以上到达采购人指定地点的不得分。</w:t>
            </w:r>
          </w:p>
        </w:tc>
        <w:tc>
          <w:tcPr>
            <w:tcW w:w="0" w:type="auto"/>
            <w:vAlign w:val="center"/>
          </w:tcPr>
          <w:p w14:paraId="046859D6">
            <w:pPr>
              <w:widowControl w:val="0"/>
              <w:jc w:val="both"/>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w:t>
            </w:r>
          </w:p>
        </w:tc>
      </w:tr>
      <w:tr w14:paraId="5A1ED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0" w:type="auto"/>
            <w:vAlign w:val="center"/>
          </w:tcPr>
          <w:p w14:paraId="78AD76E3">
            <w:pPr>
              <w:widowControl w:val="0"/>
              <w:jc w:val="center"/>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3</w:t>
            </w:r>
          </w:p>
        </w:tc>
        <w:tc>
          <w:tcPr>
            <w:tcW w:w="1700" w:type="dxa"/>
            <w:vAlign w:val="center"/>
          </w:tcPr>
          <w:p w14:paraId="2106D77E">
            <w:pPr>
              <w:widowControl w:val="0"/>
              <w:jc w:val="center"/>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相关业绩</w:t>
            </w:r>
          </w:p>
        </w:tc>
        <w:tc>
          <w:tcPr>
            <w:tcW w:w="812" w:type="dxa"/>
            <w:vAlign w:val="center"/>
          </w:tcPr>
          <w:p w14:paraId="39D9DA94">
            <w:pPr>
              <w:widowControl w:val="0"/>
              <w:jc w:val="center"/>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12</w:t>
            </w:r>
          </w:p>
        </w:tc>
        <w:tc>
          <w:tcPr>
            <w:tcW w:w="0" w:type="auto"/>
            <w:vAlign w:val="center"/>
          </w:tcPr>
          <w:p w14:paraId="7C8E500D">
            <w:pPr>
              <w:widowControl w:val="0"/>
              <w:jc w:val="both"/>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具有类似需求业绩有1项得4分，最多12分。提供相关材料</w:t>
            </w:r>
          </w:p>
        </w:tc>
        <w:tc>
          <w:tcPr>
            <w:tcW w:w="0" w:type="auto"/>
            <w:vAlign w:val="center"/>
          </w:tcPr>
          <w:p w14:paraId="48E66019">
            <w:pPr>
              <w:widowControl w:val="0"/>
              <w:jc w:val="both"/>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w:t>
            </w:r>
          </w:p>
        </w:tc>
      </w:tr>
    </w:tbl>
    <w:p w14:paraId="793BEBDB">
      <w:pPr>
        <w:pStyle w:val="2"/>
      </w:pPr>
    </w:p>
    <w:sectPr>
      <w:footerReference r:id="rId5" w:type="default"/>
      <w:pgSz w:w="11900" w:h="16840"/>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红头文件字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Math">
    <w:panose1 w:val="02040503050406030204"/>
    <w:charset w:val="00"/>
    <w:family w:val="auto"/>
    <w:pitch w:val="default"/>
    <w:sig w:usb0="E00006FF" w:usb1="420024FF" w:usb2="02000000" w:usb3="00000000" w:csb0="2000019F" w:csb1="00000000"/>
  </w:font>
  <w:font w:name="Arial Unicode MS">
    <w:panose1 w:val="020B0604020202020204"/>
    <w:charset w:val="86"/>
    <w:family w:val="auto"/>
    <w:pitch w:val="default"/>
    <w:sig w:usb0="F7FFAEFF" w:usb1="F9DFFFFF" w:usb2="0000007F" w:usb3="00000000" w:csb0="203F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F669A">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4D5BBE"/>
    <w:multiLevelType w:val="singleLevel"/>
    <w:tmpl w:val="CA4D5BBE"/>
    <w:lvl w:ilvl="0" w:tentative="0">
      <w:start w:val="4"/>
      <w:numFmt w:val="decimal"/>
      <w:lvlText w:val="%1."/>
      <w:lvlJc w:val="left"/>
      <w:pPr>
        <w:tabs>
          <w:tab w:val="left" w:pos="312"/>
        </w:tabs>
      </w:pPr>
    </w:lvl>
  </w:abstractNum>
  <w:abstractNum w:abstractNumId="1">
    <w:nsid w:val="33A7118B"/>
    <w:multiLevelType w:val="singleLevel"/>
    <w:tmpl w:val="33A7118B"/>
    <w:lvl w:ilvl="0" w:tentative="0">
      <w:start w:val="2"/>
      <w:numFmt w:val="decimal"/>
      <w:suff w:val="space"/>
      <w:lvlText w:val="%1."/>
      <w:lvlJc w:val="left"/>
    </w:lvl>
  </w:abstractNum>
  <w:abstractNum w:abstractNumId="2">
    <w:nsid w:val="7E8F04B3"/>
    <w:multiLevelType w:val="multilevel"/>
    <w:tmpl w:val="7E8F04B3"/>
    <w:lvl w:ilvl="0" w:tentative="0">
      <w:start w:val="0"/>
      <w:numFmt w:val="decimal"/>
      <w:lvlText w:val=""/>
      <w:lvlJc w:val="left"/>
      <w:pPr>
        <w:tabs>
          <w:tab w:val="left" w:pos="0"/>
        </w:tabs>
      </w:pPr>
    </w:lvl>
    <w:lvl w:ilvl="1" w:tentative="0">
      <w:start w:val="0"/>
      <w:numFmt w:val="decimal"/>
      <w:pStyle w:val="7"/>
      <w:lvlText w:val=""/>
      <w:lvlJc w:val="left"/>
      <w:pPr>
        <w:tabs>
          <w:tab w:val="left" w:pos="0"/>
        </w:tabs>
      </w:pPr>
    </w:lvl>
    <w:lvl w:ilvl="2" w:tentative="0">
      <w:start w:val="0"/>
      <w:numFmt w:val="decimal"/>
      <w:lvlText w:val=""/>
      <w:lvlJc w:val="left"/>
      <w:pPr>
        <w:tabs>
          <w:tab w:val="left" w:pos="0"/>
        </w:tabs>
      </w:pPr>
    </w:lvl>
    <w:lvl w:ilvl="3" w:tentative="0">
      <w:start w:val="0"/>
      <w:numFmt w:val="decimal"/>
      <w:lvlText w:val=""/>
      <w:lvlJc w:val="left"/>
      <w:pPr>
        <w:tabs>
          <w:tab w:val="left" w:pos="0"/>
        </w:tabs>
      </w:pPr>
    </w:lvl>
    <w:lvl w:ilvl="4" w:tentative="0">
      <w:start w:val="0"/>
      <w:numFmt w:val="decimal"/>
      <w:lvlText w:val=""/>
      <w:lvlJc w:val="left"/>
      <w:pPr>
        <w:tabs>
          <w:tab w:val="left" w:pos="0"/>
        </w:tabs>
      </w:pPr>
    </w:lvl>
    <w:lvl w:ilvl="5" w:tentative="0">
      <w:start w:val="0"/>
      <w:numFmt w:val="decimal"/>
      <w:lvlText w:val=""/>
      <w:lvlJc w:val="left"/>
      <w:pPr>
        <w:tabs>
          <w:tab w:val="left" w:pos="0"/>
        </w:tabs>
      </w:pPr>
    </w:lvl>
    <w:lvl w:ilvl="6" w:tentative="0">
      <w:start w:val="0"/>
      <w:numFmt w:val="decimal"/>
      <w:lvlText w:val=""/>
      <w:lvlJc w:val="left"/>
      <w:pPr>
        <w:tabs>
          <w:tab w:val="left" w:pos="0"/>
        </w:tabs>
      </w:pPr>
    </w:lvl>
    <w:lvl w:ilvl="7" w:tentative="0">
      <w:start w:val="0"/>
      <w:numFmt w:val="decimal"/>
      <w:lvlText w:val=""/>
      <w:lvlJc w:val="left"/>
      <w:pPr>
        <w:tabs>
          <w:tab w:val="left" w:pos="0"/>
        </w:tabs>
      </w:pPr>
    </w:lvl>
    <w:lvl w:ilvl="8" w:tentative="0">
      <w:start w:val="0"/>
      <w:numFmt w:val="decimal"/>
      <w:lvlText w:val=""/>
      <w:lvlJc w:val="left"/>
      <w:pPr>
        <w:tabs>
          <w:tab w:val="left" w:pos="0"/>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mFkMDEzOTQ5OTAyZTZkOGNkNWJmNGM1MzIxNjA2NjcifQ=="/>
  </w:docVars>
  <w:rsids>
    <w:rsidRoot w:val="00000000"/>
    <w:rsid w:val="00593490"/>
    <w:rsid w:val="0BC80588"/>
    <w:rsid w:val="0ED61A89"/>
    <w:rsid w:val="157A0F8D"/>
    <w:rsid w:val="164D719B"/>
    <w:rsid w:val="17F919C8"/>
    <w:rsid w:val="1E927791"/>
    <w:rsid w:val="228613BF"/>
    <w:rsid w:val="2DD76D5C"/>
    <w:rsid w:val="2E8709EE"/>
    <w:rsid w:val="340635EC"/>
    <w:rsid w:val="36A2369D"/>
    <w:rsid w:val="4A3A3815"/>
    <w:rsid w:val="4DBC2EF2"/>
    <w:rsid w:val="50796AE0"/>
    <w:rsid w:val="57CE2995"/>
    <w:rsid w:val="67E173A0"/>
    <w:rsid w:val="6F770C1E"/>
    <w:rsid w:val="757D7FE3"/>
    <w:rsid w:val="759579DF"/>
    <w:rsid w:val="7EBB7740"/>
    <w:rsid w:val="7EC00A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6">
    <w:name w:val="heading 1"/>
    <w:basedOn w:val="1"/>
    <w:next w:val="1"/>
    <w:qFormat/>
    <w:uiPriority w:val="0"/>
    <w:pPr>
      <w:keepNext/>
      <w:keepLines/>
      <w:spacing w:before="120" w:beforeLines="50" w:after="120" w:afterLines="50" w:line="360" w:lineRule="auto"/>
      <w:outlineLvl w:val="0"/>
    </w:pPr>
    <w:rPr>
      <w:rFonts w:eastAsia="方正仿宋_GBK"/>
      <w:b/>
      <w:bCs/>
      <w:kern w:val="44"/>
      <w:sz w:val="32"/>
      <w:szCs w:val="44"/>
    </w:rPr>
  </w:style>
  <w:style w:type="paragraph" w:styleId="7">
    <w:name w:val="heading 2"/>
    <w:basedOn w:val="1"/>
    <w:next w:val="1"/>
    <w:qFormat/>
    <w:uiPriority w:val="0"/>
    <w:pPr>
      <w:keepNext/>
      <w:keepLines/>
      <w:numPr>
        <w:ilvl w:val="1"/>
        <w:numId w:val="1"/>
      </w:numPr>
      <w:spacing w:line="415" w:lineRule="auto"/>
      <w:outlineLvl w:val="1"/>
    </w:pPr>
    <w:rPr>
      <w:rFonts w:ascii="宋体" w:hAnsi="宋体" w:eastAsia="宋体" w:cs="Arial"/>
      <w:b/>
      <w:bCs/>
      <w:sz w:val="30"/>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Arial" w:hAnsi="Arial" w:eastAsia="Arial" w:cs="Arial"/>
      <w:sz w:val="21"/>
      <w:szCs w:val="21"/>
      <w:lang w:val="en-US" w:eastAsia="en-US" w:bidi="ar-SA"/>
    </w:rPr>
  </w:style>
  <w:style w:type="paragraph" w:customStyle="1" w:styleId="3">
    <w:name w:val="一级条标题"/>
    <w:basedOn w:val="4"/>
    <w:next w:val="5"/>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4">
    <w:name w:val="章标题"/>
    <w:next w:val="1"/>
    <w:qFormat/>
    <w:uiPriority w:val="99"/>
    <w:pPr>
      <w:tabs>
        <w:tab w:val="left" w:pos="810"/>
        <w:tab w:val="left" w:pos="1265"/>
      </w:tabs>
      <w:spacing w:before="50" w:after="50"/>
      <w:ind w:left="810" w:hanging="810"/>
      <w:jc w:val="both"/>
      <w:outlineLvl w:val="1"/>
    </w:pPr>
    <w:rPr>
      <w:rFonts w:ascii="黑体" w:hAnsi="Times New Roman" w:eastAsia="黑体" w:cs="Times New Roman"/>
      <w:kern w:val="2"/>
      <w:sz w:val="21"/>
      <w:szCs w:val="22"/>
      <w:lang w:val="en-US" w:eastAsia="zh-CN" w:bidi="ar-SA"/>
    </w:rPr>
  </w:style>
  <w:style w:type="paragraph" w:customStyle="1" w:styleId="5">
    <w:name w:val="段"/>
    <w:basedOn w:val="1"/>
    <w:next w:val="1"/>
    <w:qFormat/>
    <w:uiPriority w:val="99"/>
    <w:pPr>
      <w:autoSpaceDE w:val="0"/>
      <w:autoSpaceDN w:val="0"/>
    </w:pPr>
    <w:rPr>
      <w:rFonts w:hint="eastAsia"/>
      <w:szCs w:val="20"/>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32"/>
      <w:szCs w:val="3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1185</Words>
  <Characters>1251</Characters>
  <TotalTime>6</TotalTime>
  <ScaleCrop>false</ScaleCrop>
  <LinksUpToDate>false</LinksUpToDate>
  <CharactersWithSpaces>1253</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2024-07-10T08:56:00Z</dcterms:created>
  <dc:creator>Trcao</dc:creator>
  <cp:lastModifiedBy>^O^</cp:lastModifiedBy>
  <dcterms:modified xsi:type="dcterms:W3CDTF">2024-07-15T08:20:01Z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2024-07-10T08:56:39Z</vt:filetime>
  </property>
  <property fmtid="{D5CDD505-2E9C-101B-9397-08002B2CF9AE}" pid="4" name="UsrData">
    <vt:lpwstr>668ddc42e8f0ea001fedab25wl</vt:lpwstr>
  </property>
  <property fmtid="{D5CDD505-2E9C-101B-9397-08002B2CF9AE}" pid="5" name="KSOProductBuildVer">
    <vt:lpwstr>2052-12.1.0.17147</vt:lpwstr>
  </property>
  <property fmtid="{D5CDD505-2E9C-101B-9397-08002B2CF9AE}" pid="6" name="ICV">
    <vt:lpwstr>5C4C158F1D4B4AD4AF0AF26134456CF5</vt:lpwstr>
  </property>
</Properties>
</file>