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87F6">
      <w:pPr>
        <w:pStyle w:val="6"/>
        <w:widowControl/>
        <w:shd w:val="clear" w:color="auto" w:fill="FFFFFF"/>
        <w:spacing w:beforeAutospacing="0" w:after="180" w:afterAutospacing="0" w:line="585" w:lineRule="atLeast"/>
        <w:rPr>
          <w:rFonts w:hint="eastAsia" w:ascii="仿宋_GB2312" w:hAnsi="Helvetica" w:eastAsia="仿宋_GB2312" w:cs="仿宋_GB2312"/>
          <w:color w:val="242424"/>
          <w:sz w:val="31"/>
          <w:szCs w:val="31"/>
          <w:shd w:val="clear" w:color="auto" w:fill="FFFFFF"/>
        </w:rPr>
      </w:pPr>
      <w:r>
        <w:rPr>
          <w:rFonts w:hint="eastAsia" w:ascii="仿宋_GB2312" w:hAnsi="Helvetica" w:eastAsia="仿宋_GB2312" w:cs="仿宋_GB2312"/>
          <w:color w:val="242424"/>
          <w:sz w:val="31"/>
          <w:szCs w:val="31"/>
          <w:shd w:val="clear" w:color="auto" w:fill="FFFFFF"/>
        </w:rPr>
        <w:t>附件1</w:t>
      </w:r>
    </w:p>
    <w:p w14:paraId="1ED2C613">
      <w:pPr>
        <w:spacing w:after="31"/>
        <w:ind w:firstLine="3421" w:firstLineChars="1420"/>
        <w:jc w:val="left"/>
        <w:rPr>
          <w:rFonts w:hint="eastAsia" w:ascii="宋体" w:hAnsi="宋体" w:cs="宋体"/>
          <w:b/>
          <w:bCs/>
          <w:color w:val="000000"/>
          <w:sz w:val="24"/>
          <w:lang w:val="zh-CN" w:bidi="zh-CN"/>
        </w:rPr>
      </w:pPr>
      <w:r>
        <w:rPr>
          <w:rFonts w:hint="eastAsia" w:ascii="宋体" w:hAnsi="宋体" w:cs="宋体"/>
          <w:b/>
          <w:bCs/>
          <w:color w:val="000000"/>
          <w:sz w:val="24"/>
          <w:lang w:bidi="zh-CN"/>
        </w:rPr>
        <w:t>入库</w:t>
      </w:r>
      <w:r>
        <w:rPr>
          <w:rFonts w:ascii="宋体" w:hAnsi="宋体" w:cs="宋体"/>
          <w:b/>
          <w:bCs/>
          <w:color w:val="000000"/>
          <w:sz w:val="24"/>
          <w:lang w:val="zh-CN" w:bidi="zh-CN"/>
        </w:rPr>
        <w:t>资格要求</w:t>
      </w:r>
    </w:p>
    <w:tbl>
      <w:tblPr>
        <w:tblStyle w:val="8"/>
        <w:tblW w:w="9182" w:type="dxa"/>
        <w:jc w:val="center"/>
        <w:tblLayout w:type="fixed"/>
        <w:tblCellMar>
          <w:top w:w="0" w:type="dxa"/>
          <w:left w:w="108" w:type="dxa"/>
          <w:bottom w:w="0" w:type="dxa"/>
          <w:right w:w="108" w:type="dxa"/>
        </w:tblCellMar>
      </w:tblPr>
      <w:tblGrid>
        <w:gridCol w:w="792"/>
        <w:gridCol w:w="1515"/>
        <w:gridCol w:w="6875"/>
      </w:tblGrid>
      <w:tr w14:paraId="7D5707BA">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B2044B4">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序号</w:t>
            </w:r>
          </w:p>
        </w:tc>
        <w:tc>
          <w:tcPr>
            <w:tcW w:w="8390" w:type="dxa"/>
            <w:gridSpan w:val="2"/>
            <w:tcBorders>
              <w:top w:val="single" w:color="000000" w:sz="4" w:space="0"/>
              <w:left w:val="single" w:color="000000" w:sz="4" w:space="0"/>
              <w:bottom w:val="single" w:color="000000" w:sz="4" w:space="0"/>
              <w:right w:val="single" w:color="000000" w:sz="4" w:space="0"/>
            </w:tcBorders>
            <w:vAlign w:val="center"/>
          </w:tcPr>
          <w:p w14:paraId="620A96F7">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资格要求</w:t>
            </w:r>
          </w:p>
        </w:tc>
      </w:tr>
      <w:tr w14:paraId="613B9552">
        <w:tblPrEx>
          <w:tblCellMar>
            <w:top w:w="0" w:type="dxa"/>
            <w:left w:w="108" w:type="dxa"/>
            <w:bottom w:w="0" w:type="dxa"/>
            <w:right w:w="108" w:type="dxa"/>
          </w:tblCellMar>
        </w:tblPrEx>
        <w:trPr>
          <w:trHeight w:val="108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7AA3B92">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1</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A216E20">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资格审查</w:t>
            </w:r>
          </w:p>
        </w:tc>
        <w:tc>
          <w:tcPr>
            <w:tcW w:w="6875" w:type="dxa"/>
            <w:tcBorders>
              <w:top w:val="single" w:color="000000" w:sz="4" w:space="0"/>
              <w:left w:val="single" w:color="000000" w:sz="4" w:space="0"/>
              <w:bottom w:val="single" w:color="000000" w:sz="4" w:space="0"/>
              <w:right w:val="single" w:color="000000" w:sz="4" w:space="0"/>
            </w:tcBorders>
            <w:vAlign w:val="center"/>
          </w:tcPr>
          <w:p w14:paraId="5A2D8BC2">
            <w:pPr>
              <w:spacing w:line="400" w:lineRule="exact"/>
              <w:ind w:firstLine="420" w:firstLineChars="200"/>
              <w:contextualSpacing/>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具有独立承担民事责任的能力。</w:t>
            </w:r>
          </w:p>
          <w:p w14:paraId="5C3F5562">
            <w:pPr>
              <w:spacing w:line="400" w:lineRule="exact"/>
              <w:ind w:firstLine="420" w:firstLineChars="200"/>
              <w:contextualSpacing/>
              <w:rPr>
                <w:rFonts w:ascii="Calibri"/>
                <w:color w:val="000000"/>
                <w:szCs w:val="21"/>
              </w:rPr>
            </w:pPr>
            <w:r>
              <w:rPr>
                <w:rFonts w:hint="eastAsia" w:ascii="宋体" w:hAnsi="宋体" w:cs="宋体"/>
                <w:color w:val="000000"/>
                <w:szCs w:val="21"/>
                <w:shd w:val="clear" w:color="auto" w:fill="FFFFFF"/>
              </w:rPr>
              <w:t>提供法人或其他组织的营业执照等证明文件或自然人身份证明</w:t>
            </w:r>
            <w:r>
              <w:rPr>
                <w:rFonts w:hint="eastAsia" w:ascii="Calibri"/>
                <w:color w:val="000000"/>
                <w:szCs w:val="21"/>
              </w:rPr>
              <w:t>复印件加盖公章。</w:t>
            </w:r>
          </w:p>
          <w:p w14:paraId="7D5C2C04">
            <w:pPr>
              <w:pStyle w:val="2"/>
              <w:jc w:val="both"/>
            </w:pPr>
            <w:r>
              <w:rPr>
                <w:rFonts w:hint="eastAsia" w:ascii="宋体" w:hAnsi="宋体" w:eastAsia="宋体" w:cs="宋体"/>
                <w:color w:val="000000"/>
                <w:kern w:val="2"/>
                <w:sz w:val="21"/>
                <w:szCs w:val="21"/>
                <w:shd w:val="clear" w:color="auto" w:fill="FFFFFF"/>
              </w:rPr>
              <w:t>在交易中心进行备案，且在有效期内。</w:t>
            </w:r>
          </w:p>
        </w:tc>
      </w:tr>
      <w:tr w14:paraId="65A29906">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E690613">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2</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3FE7055">
            <w:pPr>
              <w:pStyle w:val="10"/>
              <w:tabs>
                <w:tab w:val="left" w:pos="1583"/>
              </w:tabs>
              <w:snapToGrid w:val="0"/>
              <w:spacing w:line="440" w:lineRule="exact"/>
              <w:ind w:left="0" w:firstLine="0"/>
              <w:jc w:val="center"/>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1BC8B0D1">
            <w:pPr>
              <w:spacing w:line="400" w:lineRule="exact"/>
              <w:ind w:firstLine="420" w:firstLineChars="200"/>
              <w:contextualSpacing/>
              <w:jc w:val="left"/>
              <w:rPr>
                <w:rFonts w:ascii="Calibri"/>
                <w:color w:val="000000"/>
                <w:szCs w:val="21"/>
              </w:rPr>
            </w:pPr>
            <w:r>
              <w:rPr>
                <w:rFonts w:hint="eastAsia" w:ascii="Calibri"/>
                <w:color w:val="000000"/>
                <w:szCs w:val="21"/>
              </w:rPr>
              <w:t>具有良好的商业信誉和健全的财务会计制度。</w:t>
            </w:r>
          </w:p>
          <w:p w14:paraId="1552AB87">
            <w:pPr>
              <w:spacing w:line="400" w:lineRule="exact"/>
              <w:ind w:firstLine="420" w:firstLineChars="200"/>
              <w:contextualSpacing/>
              <w:jc w:val="left"/>
              <w:rPr>
                <w:rFonts w:eastAsia="楷体_GB2312"/>
              </w:rPr>
            </w:pPr>
            <w:r>
              <w:rPr>
                <w:rFonts w:hint="eastAsia" w:ascii="Calibri"/>
                <w:color w:val="000000"/>
                <w:szCs w:val="21"/>
              </w:rPr>
              <w:t>提供近三年（2022-2024年度）的财务报告（包括审计报告、资产负债表、利润表、现金流量表及其附注）复印件加盖公章，成立未满一年的提供基本开户银行出具的资信证明复印件加盖公章。</w:t>
            </w:r>
          </w:p>
        </w:tc>
      </w:tr>
      <w:tr w14:paraId="3C1E2AC3">
        <w:tblPrEx>
          <w:tblCellMar>
            <w:top w:w="0" w:type="dxa"/>
            <w:left w:w="108" w:type="dxa"/>
            <w:bottom w:w="0" w:type="dxa"/>
            <w:right w:w="108" w:type="dxa"/>
          </w:tblCellMar>
        </w:tblPrEx>
        <w:trPr>
          <w:trHeight w:val="732"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903D77D">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3</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1FC4262">
            <w:pPr>
              <w:pStyle w:val="10"/>
              <w:tabs>
                <w:tab w:val="left" w:pos="1583"/>
              </w:tabs>
              <w:snapToGrid w:val="0"/>
              <w:spacing w:line="440" w:lineRule="exact"/>
              <w:ind w:left="0" w:firstLine="0"/>
              <w:jc w:val="center"/>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0C76EEF0">
            <w:pPr>
              <w:pStyle w:val="7"/>
              <w:spacing w:after="0" w:line="400" w:lineRule="exact"/>
              <w:ind w:left="0" w:leftChars="0" w:firstLine="420"/>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具有履约所必需的设备和专业技术能力。</w:t>
            </w:r>
          </w:p>
          <w:p w14:paraId="1562204E">
            <w:pPr>
              <w:pStyle w:val="7"/>
              <w:spacing w:after="0" w:line="400" w:lineRule="exact"/>
              <w:ind w:left="0" w:leftChars="0" w:firstLine="420"/>
              <w:rPr>
                <w:rFonts w:hint="eastAsia" w:ascii="宋体" w:hAnsi="宋体" w:eastAsia="宋体"/>
                <w:color w:val="000000"/>
                <w:szCs w:val="21"/>
              </w:rPr>
            </w:pPr>
            <w:r>
              <w:rPr>
                <w:rFonts w:hint="eastAsia" w:ascii="宋体" w:hAnsi="宋体" w:eastAsia="宋体" w:cs="宋体"/>
                <w:color w:val="000000"/>
                <w:szCs w:val="21"/>
                <w:shd w:val="clear" w:color="auto" w:fill="FFFFFF"/>
              </w:rPr>
              <w:t>提供具备履约所必需的设备和专业技术能力的证明材料</w:t>
            </w:r>
            <w:r>
              <w:rPr>
                <w:rFonts w:hint="eastAsia" w:ascii="Calibri"/>
                <w:color w:val="000000"/>
                <w:szCs w:val="21"/>
              </w:rPr>
              <w:t>复印件加盖公章</w:t>
            </w:r>
            <w:r>
              <w:rPr>
                <w:rFonts w:hint="eastAsia" w:ascii="宋体" w:hAnsi="宋体" w:eastAsia="宋体" w:cs="宋体"/>
                <w:color w:val="000000"/>
                <w:szCs w:val="21"/>
                <w:shd w:val="clear" w:color="auto" w:fill="FFFFFF"/>
              </w:rPr>
              <w:t>或承诺函（格式自拟并盖投标人公章）。</w:t>
            </w:r>
          </w:p>
        </w:tc>
      </w:tr>
      <w:tr w14:paraId="08402DA7">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D9175FC">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4</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312ED17">
            <w:pPr>
              <w:pStyle w:val="10"/>
              <w:tabs>
                <w:tab w:val="left" w:pos="1583"/>
              </w:tabs>
              <w:snapToGrid w:val="0"/>
              <w:spacing w:line="440" w:lineRule="exact"/>
              <w:ind w:left="0" w:firstLine="0"/>
              <w:jc w:val="left"/>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BA41515">
            <w:pPr>
              <w:pStyle w:val="7"/>
              <w:spacing w:after="0" w:line="400" w:lineRule="exact"/>
              <w:ind w:left="0" w:leftChars="0" w:firstLine="420"/>
              <w:rPr>
                <w:color w:val="000000"/>
                <w:szCs w:val="21"/>
              </w:rPr>
            </w:pPr>
            <w:r>
              <w:rPr>
                <w:rFonts w:hint="eastAsia" w:ascii="宋体" w:hAnsi="宋体" w:eastAsia="宋体" w:cs="宋体"/>
                <w:color w:val="000000"/>
                <w:szCs w:val="21"/>
                <w:shd w:val="clear" w:color="auto" w:fill="FFFFFF"/>
              </w:rPr>
              <w:t>具有依法缴纳税收和社会保障资金的良好记录。</w:t>
            </w:r>
          </w:p>
          <w:p w14:paraId="0E7F0959">
            <w:pPr>
              <w:pStyle w:val="7"/>
              <w:spacing w:after="0" w:line="400" w:lineRule="exact"/>
              <w:ind w:left="0" w:leftChars="0" w:firstLine="420"/>
              <w:rPr>
                <w:rFonts w:hint="eastAsia" w:ascii="宋体" w:hAnsi="宋体" w:eastAsia="宋体"/>
                <w:color w:val="000000"/>
                <w:szCs w:val="21"/>
              </w:rPr>
            </w:pPr>
            <w:r>
              <w:rPr>
                <w:rFonts w:hint="eastAsia" w:ascii="宋体" w:hAnsi="宋体" w:eastAsia="宋体" w:cs="宋体"/>
                <w:color w:val="000000"/>
                <w:szCs w:val="21"/>
                <w:shd w:val="clear" w:color="auto" w:fill="FFFFFF"/>
              </w:rPr>
              <w:t>提供2024年1月以来任意3个月的缴纳税收的凭证和社保证明(复印件加盖公章）。</w:t>
            </w:r>
          </w:p>
        </w:tc>
      </w:tr>
      <w:tr w14:paraId="7D3E0A89">
        <w:tblPrEx>
          <w:tblCellMar>
            <w:top w:w="0" w:type="dxa"/>
            <w:left w:w="108" w:type="dxa"/>
            <w:bottom w:w="0" w:type="dxa"/>
            <w:right w:w="108" w:type="dxa"/>
          </w:tblCellMar>
        </w:tblPrEx>
        <w:trPr>
          <w:trHeight w:val="1442"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DCB0C4D">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5</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E3493E9">
            <w:pPr>
              <w:pStyle w:val="10"/>
              <w:tabs>
                <w:tab w:val="left" w:pos="1583"/>
              </w:tabs>
              <w:snapToGrid w:val="0"/>
              <w:spacing w:line="440" w:lineRule="exact"/>
              <w:ind w:left="0" w:firstLine="0"/>
              <w:jc w:val="left"/>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1474DC6">
            <w:pPr>
              <w:pStyle w:val="6"/>
              <w:widowControl/>
              <w:shd w:val="clear" w:color="auto" w:fill="FFFFFF"/>
              <w:spacing w:beforeAutospacing="0" w:afterAutospacing="0" w:line="400" w:lineRule="exact"/>
              <w:ind w:firstLine="420" w:firstLineChars="20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参加本次招标活动前三年内，在经营活动中没有违法违规等不良记录。</w:t>
            </w:r>
          </w:p>
          <w:p w14:paraId="182DDA48">
            <w:pPr>
              <w:pStyle w:val="10"/>
              <w:tabs>
                <w:tab w:val="left" w:pos="1583"/>
              </w:tabs>
              <w:spacing w:line="400" w:lineRule="exact"/>
              <w:ind w:left="0" w:firstLine="420" w:firstLineChars="200"/>
              <w:rPr>
                <w:rFonts w:hint="eastAsia"/>
                <w:color w:val="000000"/>
                <w:szCs w:val="21"/>
                <w:lang w:val="en-US"/>
              </w:rPr>
            </w:pPr>
            <w:r>
              <w:rPr>
                <w:rFonts w:hint="eastAsia"/>
                <w:color w:val="000000"/>
                <w:szCs w:val="21"/>
                <w:shd w:val="clear" w:color="auto" w:fill="FFFFFF"/>
              </w:rPr>
              <w:t>提供参加本次招标活动前3年内在经营活动中没有重大违法记录的书面声明（格式自拟并盖投标人公章。</w:t>
            </w:r>
            <w:r>
              <w:rPr>
                <w:rFonts w:hint="eastAsia" w:ascii="Calibri" w:hAnsi="Times New Roman" w:eastAsia="宋体" w:cs="Times New Roman"/>
                <w:color w:val="000000"/>
                <w:szCs w:val="21"/>
                <w:lang w:val="en-US" w:bidi="ar-SA"/>
              </w:rPr>
              <w:t>服务期内已经发现，取消代理资格，并追究相关责任）</w:t>
            </w:r>
          </w:p>
        </w:tc>
      </w:tr>
      <w:tr w14:paraId="3D553EBB">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F13C21D">
            <w:pPr>
              <w:pStyle w:val="10"/>
              <w:tabs>
                <w:tab w:val="left" w:pos="1583"/>
              </w:tabs>
              <w:spacing w:line="440" w:lineRule="exact"/>
              <w:ind w:left="0" w:firstLine="0"/>
              <w:jc w:val="center"/>
              <w:rPr>
                <w:rFonts w:hint="eastAsia"/>
                <w:color w:val="000000"/>
                <w:szCs w:val="21"/>
              </w:rPr>
            </w:pPr>
            <w:r>
              <w:rPr>
                <w:rFonts w:hint="eastAsia"/>
                <w:b/>
                <w:color w:val="000000"/>
                <w:szCs w:val="21"/>
                <w:lang w:val="en-US"/>
              </w:rPr>
              <w:t>6</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A0CF043">
            <w:pPr>
              <w:pStyle w:val="10"/>
              <w:tabs>
                <w:tab w:val="left" w:pos="1583"/>
              </w:tabs>
              <w:snapToGrid w:val="0"/>
              <w:spacing w:line="440" w:lineRule="exact"/>
              <w:ind w:left="0" w:firstLine="0"/>
              <w:jc w:val="left"/>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4DE70286">
            <w:pPr>
              <w:pStyle w:val="6"/>
              <w:widowControl/>
              <w:shd w:val="clear" w:color="auto" w:fill="FFFFFF"/>
              <w:spacing w:beforeAutospacing="0" w:afterAutospacing="0" w:line="400" w:lineRule="exact"/>
              <w:ind w:firstLine="360" w:firstLineChars="200"/>
              <w:rPr>
                <w:rFonts w:hint="eastAsia" w:ascii="宋体" w:hAnsi="宋体" w:cs="宋体"/>
                <w:color w:val="000000"/>
                <w:sz w:val="18"/>
                <w:szCs w:val="21"/>
                <w:shd w:val="clear" w:color="auto" w:fill="FFFFFF"/>
              </w:rPr>
            </w:pPr>
            <w:r>
              <w:rPr>
                <w:rFonts w:hint="eastAsia" w:ascii="宋体" w:hAnsi="宋体" w:cs="宋体"/>
                <w:color w:val="000000"/>
                <w:sz w:val="18"/>
                <w:szCs w:val="21"/>
                <w:shd w:val="clear" w:color="auto" w:fill="FFFFFF"/>
              </w:rPr>
              <w:t>法律、行政法规规定的其他条件。</w:t>
            </w:r>
          </w:p>
          <w:p w14:paraId="561B858D">
            <w:pPr>
              <w:pStyle w:val="10"/>
              <w:tabs>
                <w:tab w:val="left" w:pos="1583"/>
              </w:tabs>
              <w:spacing w:line="400" w:lineRule="exact"/>
              <w:ind w:left="0" w:firstLine="360" w:firstLineChars="200"/>
              <w:rPr>
                <w:rFonts w:hint="eastAsia"/>
                <w:color w:val="000000"/>
                <w:sz w:val="18"/>
                <w:shd w:val="clear" w:color="auto" w:fill="FFFFFF"/>
              </w:rPr>
            </w:pPr>
            <w:r>
              <w:rPr>
                <w:rFonts w:hint="eastAsia"/>
                <w:bCs/>
                <w:color w:val="000000"/>
                <w:kern w:val="0"/>
                <w:sz w:val="18"/>
                <w:szCs w:val="21"/>
              </w:rPr>
              <w:t>具体要求</w:t>
            </w:r>
            <w:r>
              <w:rPr>
                <w:rFonts w:hint="eastAsia"/>
                <w:bCs/>
                <w:color w:val="000000"/>
                <w:kern w:val="0"/>
                <w:sz w:val="18"/>
                <w:szCs w:val="21"/>
                <w:lang w:val="en-US"/>
              </w:rPr>
              <w:t>：</w:t>
            </w:r>
            <w:r>
              <w:rPr>
                <w:rFonts w:hint="eastAsia"/>
                <w:bCs/>
                <w:color w:val="000000"/>
                <w:sz w:val="18"/>
              </w:rPr>
              <w:t>诚信资格要求</w:t>
            </w:r>
            <w:r>
              <w:rPr>
                <w:rFonts w:hint="eastAsia"/>
                <w:bCs/>
                <w:color w:val="000000"/>
                <w:sz w:val="18"/>
                <w:lang w:val="en-US"/>
              </w:rPr>
              <w:t>：①</w:t>
            </w:r>
            <w:r>
              <w:rPr>
                <w:rFonts w:hint="eastAsia"/>
                <w:bCs/>
                <w:color w:val="000000"/>
                <w:sz w:val="18"/>
              </w:rPr>
              <w:t>对列入失信惩戒对象名单的供应商</w:t>
            </w:r>
            <w:r>
              <w:rPr>
                <w:rFonts w:hint="eastAsia"/>
                <w:bCs/>
                <w:color w:val="000000"/>
                <w:sz w:val="18"/>
                <w:lang w:val="en-US"/>
              </w:rPr>
              <w:t>，</w:t>
            </w:r>
            <w:r>
              <w:rPr>
                <w:rFonts w:hint="eastAsia"/>
                <w:bCs/>
                <w:color w:val="000000"/>
                <w:sz w:val="18"/>
              </w:rPr>
              <w:t>拒绝其参与投标</w:t>
            </w:r>
            <w:r>
              <w:rPr>
                <w:rFonts w:hint="eastAsia"/>
                <w:bCs/>
                <w:color w:val="000000"/>
                <w:sz w:val="18"/>
                <w:lang w:val="en-US"/>
              </w:rPr>
              <w:t>，</w:t>
            </w:r>
            <w:r>
              <w:rPr>
                <w:rFonts w:hint="eastAsia"/>
                <w:bCs/>
                <w:color w:val="000000"/>
                <w:sz w:val="18"/>
              </w:rPr>
              <w:t>提供公告发布之日至报名参加遴选前任一时间</w:t>
            </w:r>
            <w:r>
              <w:rPr>
                <w:rFonts w:hint="eastAsia"/>
                <w:bCs/>
                <w:color w:val="000000"/>
                <w:sz w:val="18"/>
                <w:lang w:val="en-US"/>
              </w:rPr>
              <w:t>，</w:t>
            </w:r>
            <w:r>
              <w:rPr>
                <w:rFonts w:hint="eastAsia"/>
                <w:bCs/>
                <w:color w:val="000000"/>
                <w:sz w:val="18"/>
              </w:rPr>
              <w:t>在</w:t>
            </w:r>
            <w:r>
              <w:rPr>
                <w:rFonts w:hint="eastAsia"/>
                <w:bCs/>
                <w:color w:val="000000"/>
                <w:sz w:val="18"/>
                <w:lang w:val="en-US"/>
              </w:rPr>
              <w:t>“</w:t>
            </w:r>
            <w:r>
              <w:rPr>
                <w:rFonts w:hint="eastAsia"/>
                <w:bCs/>
                <w:color w:val="000000"/>
                <w:sz w:val="18"/>
              </w:rPr>
              <w:t>信用中国</w:t>
            </w:r>
            <w:r>
              <w:rPr>
                <w:rFonts w:hint="eastAsia"/>
                <w:bCs/>
                <w:color w:val="000000"/>
                <w:sz w:val="18"/>
                <w:lang w:val="en-US"/>
              </w:rPr>
              <w:t>”</w:t>
            </w:r>
            <w:r>
              <w:rPr>
                <w:rFonts w:hint="eastAsia"/>
                <w:bCs/>
                <w:color w:val="000000"/>
                <w:sz w:val="18"/>
              </w:rPr>
              <w:t>网站</w:t>
            </w:r>
            <w:r>
              <w:rPr>
                <w:rFonts w:hint="eastAsia"/>
                <w:bCs/>
                <w:color w:val="000000"/>
                <w:sz w:val="18"/>
                <w:lang w:val="en-US"/>
              </w:rPr>
              <w:t>（www.creditchina.gov.cn）</w:t>
            </w:r>
            <w:r>
              <w:rPr>
                <w:rFonts w:hint="eastAsia"/>
                <w:bCs/>
                <w:color w:val="000000"/>
                <w:sz w:val="18"/>
              </w:rPr>
              <w:t>查询下载的信用信息报告</w:t>
            </w:r>
            <w:r>
              <w:rPr>
                <w:rFonts w:hint="eastAsia"/>
                <w:bCs/>
                <w:color w:val="000000"/>
                <w:sz w:val="18"/>
                <w:lang w:val="en-US"/>
              </w:rPr>
              <w:t>；②</w:t>
            </w:r>
            <w:r>
              <w:rPr>
                <w:rFonts w:hint="eastAsia"/>
                <w:bCs/>
                <w:color w:val="000000"/>
                <w:sz w:val="18"/>
              </w:rPr>
              <w:t>对列入政府采购严重违法失信行为记录名单的供应商</w:t>
            </w:r>
            <w:r>
              <w:rPr>
                <w:rFonts w:hint="eastAsia"/>
                <w:bCs/>
                <w:color w:val="000000"/>
                <w:sz w:val="18"/>
                <w:lang w:val="en-US"/>
              </w:rPr>
              <w:t>，</w:t>
            </w:r>
            <w:r>
              <w:rPr>
                <w:rFonts w:hint="eastAsia"/>
                <w:bCs/>
                <w:color w:val="000000"/>
                <w:sz w:val="18"/>
              </w:rPr>
              <w:t>拒绝其参与投标</w:t>
            </w:r>
            <w:r>
              <w:rPr>
                <w:rFonts w:hint="eastAsia"/>
                <w:bCs/>
                <w:color w:val="000000"/>
                <w:sz w:val="18"/>
                <w:lang w:val="en-US"/>
              </w:rPr>
              <w:t>，</w:t>
            </w:r>
            <w:r>
              <w:rPr>
                <w:rFonts w:hint="eastAsia"/>
                <w:bCs/>
                <w:color w:val="000000"/>
                <w:sz w:val="18"/>
              </w:rPr>
              <w:t>提供公告发布之日至报名参加遴选前任一时间</w:t>
            </w:r>
            <w:r>
              <w:rPr>
                <w:rFonts w:hint="eastAsia"/>
                <w:bCs/>
                <w:color w:val="000000"/>
                <w:sz w:val="18"/>
                <w:lang w:val="en-US"/>
              </w:rPr>
              <w:t>，</w:t>
            </w:r>
            <w:r>
              <w:rPr>
                <w:rFonts w:hint="eastAsia"/>
                <w:bCs/>
                <w:color w:val="000000"/>
                <w:sz w:val="18"/>
              </w:rPr>
              <w:t>在中国政府采购网</w:t>
            </w:r>
            <w:r>
              <w:rPr>
                <w:rFonts w:hint="eastAsia"/>
                <w:bCs/>
                <w:color w:val="000000"/>
                <w:sz w:val="18"/>
                <w:lang w:val="en-US"/>
              </w:rPr>
              <w:t>（www.ccgp.gov.cn）</w:t>
            </w:r>
            <w:r>
              <w:rPr>
                <w:rFonts w:hint="eastAsia"/>
                <w:bCs/>
                <w:color w:val="000000"/>
                <w:sz w:val="18"/>
              </w:rPr>
              <w:t>政府采购严重违法失信行为记录名单的查询记录截图</w:t>
            </w:r>
            <w:r>
              <w:rPr>
                <w:rFonts w:hint="eastAsia"/>
                <w:bCs/>
                <w:color w:val="000000"/>
                <w:sz w:val="18"/>
                <w:lang w:val="en-US"/>
              </w:rPr>
              <w:t>”</w:t>
            </w:r>
            <w:r>
              <w:rPr>
                <w:rFonts w:hint="eastAsia"/>
                <w:color w:val="000000"/>
                <w:sz w:val="18"/>
                <w:shd w:val="clear" w:color="auto" w:fill="FFFFFF"/>
              </w:rPr>
              <w:t>。如被列入失信被执行人、重大税收违法失信主体名单、严重失信主体、政府采购严重违法失信行为记录名单、代理机构不良行为记录名单中的投标人取消其投标资格，并承担由此造成的一切法律责任及后果。</w:t>
            </w:r>
          </w:p>
        </w:tc>
      </w:tr>
      <w:tr w14:paraId="1620DAFA">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022F5CB">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7</w:t>
            </w:r>
          </w:p>
        </w:tc>
        <w:tc>
          <w:tcPr>
            <w:tcW w:w="1515" w:type="dxa"/>
            <w:vMerge w:val="restart"/>
            <w:tcBorders>
              <w:top w:val="single" w:color="000000" w:sz="4" w:space="0"/>
              <w:left w:val="single" w:color="000000" w:sz="4" w:space="0"/>
              <w:right w:val="single" w:color="000000" w:sz="4" w:space="0"/>
            </w:tcBorders>
            <w:vAlign w:val="center"/>
          </w:tcPr>
          <w:p w14:paraId="0BBF1CF2">
            <w:pPr>
              <w:pStyle w:val="10"/>
              <w:tabs>
                <w:tab w:val="left" w:pos="1583"/>
              </w:tabs>
              <w:snapToGrid w:val="0"/>
              <w:spacing w:line="440" w:lineRule="exact"/>
              <w:ind w:left="0" w:firstLine="0"/>
              <w:jc w:val="left"/>
              <w:rPr>
                <w:rFonts w:hint="eastAsia"/>
                <w:color w:val="000000"/>
                <w:szCs w:val="21"/>
                <w:shd w:val="clear" w:color="auto" w:fill="FFFFFF"/>
                <w:lang w:val="en-US"/>
              </w:rPr>
            </w:pPr>
            <w:r>
              <w:rPr>
                <w:rFonts w:hint="eastAsia"/>
                <w:color w:val="000000"/>
                <w:szCs w:val="21"/>
                <w:shd w:val="clear" w:color="auto" w:fill="FFFFFF"/>
                <w:lang w:val="en-US"/>
              </w:rPr>
              <w:t>必须满足条件</w:t>
            </w:r>
          </w:p>
        </w:tc>
        <w:tc>
          <w:tcPr>
            <w:tcW w:w="6875" w:type="dxa"/>
            <w:tcBorders>
              <w:top w:val="single" w:color="000000" w:sz="4" w:space="0"/>
              <w:left w:val="single" w:color="000000" w:sz="4" w:space="0"/>
              <w:bottom w:val="single" w:color="000000" w:sz="4" w:space="0"/>
              <w:right w:val="single" w:color="000000" w:sz="4" w:space="0"/>
            </w:tcBorders>
            <w:vAlign w:val="center"/>
          </w:tcPr>
          <w:p w14:paraId="6F128FB5">
            <w:pPr>
              <w:pStyle w:val="10"/>
              <w:tabs>
                <w:tab w:val="left" w:pos="1583"/>
              </w:tabs>
              <w:spacing w:line="40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必须完成过货物、服务和工程三个别类的项目招标工作，缺一不可，以中标通知书为佐证。</w:t>
            </w:r>
          </w:p>
        </w:tc>
      </w:tr>
      <w:tr w14:paraId="7187AB2A">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D683094">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8</w:t>
            </w:r>
          </w:p>
        </w:tc>
        <w:tc>
          <w:tcPr>
            <w:tcW w:w="1515" w:type="dxa"/>
            <w:vMerge w:val="continue"/>
            <w:tcBorders>
              <w:left w:val="single" w:color="000000" w:sz="4" w:space="0"/>
              <w:right w:val="single" w:color="000000" w:sz="4" w:space="0"/>
            </w:tcBorders>
            <w:vAlign w:val="center"/>
          </w:tcPr>
          <w:p w14:paraId="336A09FE">
            <w:pPr>
              <w:pStyle w:val="10"/>
              <w:tabs>
                <w:tab w:val="left" w:pos="1583"/>
              </w:tabs>
              <w:snapToGrid w:val="0"/>
              <w:spacing w:line="440" w:lineRule="exact"/>
              <w:ind w:left="0" w:firstLine="0"/>
              <w:jc w:val="left"/>
              <w:rPr>
                <w:rFonts w:hint="eastAsia"/>
                <w:color w:val="000000"/>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F9D578B">
            <w:pPr>
              <w:pStyle w:val="10"/>
              <w:tabs>
                <w:tab w:val="left" w:pos="1583"/>
              </w:tabs>
              <w:spacing w:line="40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针对我单位的具体情况，应配有一年以上招标经验的人员开展工作，熟悉国家及贵州省政府采购的相关规定。并对学院相关人员进行2次以上的培训及业务指导，且需确定1名工作对接人，保证校方能够随时联系。</w:t>
            </w:r>
          </w:p>
        </w:tc>
      </w:tr>
      <w:tr w14:paraId="1AB3003F">
        <w:tblPrEx>
          <w:tblCellMar>
            <w:top w:w="0" w:type="dxa"/>
            <w:left w:w="108" w:type="dxa"/>
            <w:bottom w:w="0" w:type="dxa"/>
            <w:right w:w="108" w:type="dxa"/>
          </w:tblCellMar>
        </w:tblPrEx>
        <w:trPr>
          <w:trHeight w:val="72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A75D723">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9</w:t>
            </w:r>
          </w:p>
        </w:tc>
        <w:tc>
          <w:tcPr>
            <w:tcW w:w="1515" w:type="dxa"/>
            <w:vMerge w:val="continue"/>
            <w:tcBorders>
              <w:left w:val="single" w:color="000000" w:sz="4" w:space="0"/>
              <w:bottom w:val="single" w:color="000000" w:sz="4" w:space="0"/>
              <w:right w:val="single" w:color="000000" w:sz="4" w:space="0"/>
            </w:tcBorders>
            <w:vAlign w:val="center"/>
          </w:tcPr>
          <w:p w14:paraId="21B70122">
            <w:pPr>
              <w:pStyle w:val="10"/>
              <w:tabs>
                <w:tab w:val="left" w:pos="1583"/>
              </w:tabs>
              <w:snapToGrid w:val="0"/>
              <w:spacing w:line="440" w:lineRule="exact"/>
              <w:ind w:left="0" w:firstLine="0"/>
              <w:jc w:val="left"/>
              <w:rPr>
                <w:rFonts w:hint="eastAsia"/>
                <w:b/>
                <w:color w:val="000000"/>
                <w:szCs w:val="21"/>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785B436">
            <w:pPr>
              <w:pStyle w:val="10"/>
              <w:tabs>
                <w:tab w:val="left" w:pos="1583"/>
              </w:tabs>
              <w:spacing w:line="400" w:lineRule="exact"/>
              <w:ind w:left="0" w:firstLine="420" w:firstLineChars="200"/>
              <w:rPr>
                <w:rFonts w:hint="eastAsia"/>
                <w:bCs/>
                <w:color w:val="000000"/>
                <w:kern w:val="0"/>
                <w:sz w:val="18"/>
                <w:szCs w:val="21"/>
              </w:rPr>
            </w:pPr>
            <w:r>
              <w:rPr>
                <w:rFonts w:hint="eastAsia" w:eastAsia="宋体" w:cs="Times New Roman"/>
                <w:szCs w:val="21"/>
                <w:lang w:val="en-US" w:bidi="ar-SA"/>
              </w:rPr>
              <w:t>在代理过程中必须按照政府采购法和学校采购管理办法规定执行采购，如出现相关违规违法情况，校方将取消其代理资格，并按相关法律法规追究其责任。</w:t>
            </w:r>
          </w:p>
        </w:tc>
      </w:tr>
      <w:tr w14:paraId="2B99D603">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76F468D5">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10</w:t>
            </w:r>
          </w:p>
        </w:tc>
        <w:tc>
          <w:tcPr>
            <w:tcW w:w="1515" w:type="dxa"/>
            <w:tcBorders>
              <w:top w:val="single" w:color="000000" w:sz="4" w:space="0"/>
              <w:left w:val="single" w:color="000000" w:sz="4" w:space="0"/>
              <w:bottom w:val="single" w:color="000000" w:sz="4" w:space="0"/>
              <w:right w:val="single" w:color="000000" w:sz="4" w:space="0"/>
            </w:tcBorders>
            <w:vAlign w:val="center"/>
          </w:tcPr>
          <w:p w14:paraId="6922E5B8">
            <w:pPr>
              <w:widowControl/>
              <w:spacing w:line="288" w:lineRule="auto"/>
              <w:jc w:val="center"/>
              <w:rPr>
                <w:rFonts w:hint="eastAsia" w:ascii="宋体" w:hAnsi="宋体" w:cs="宋体"/>
                <w:color w:val="000000"/>
                <w:szCs w:val="21"/>
                <w:shd w:val="clear" w:color="auto" w:fill="FFFFFF"/>
                <w:lang w:bidi="zh-CN"/>
              </w:rPr>
            </w:pPr>
            <w:r>
              <w:rPr>
                <w:rFonts w:hint="eastAsia" w:ascii="宋体" w:hAnsi="宋体" w:cs="宋体"/>
                <w:color w:val="000000"/>
                <w:szCs w:val="21"/>
                <w:shd w:val="clear" w:color="auto" w:fill="FFFFFF"/>
                <w:lang w:bidi="zh-CN"/>
              </w:rPr>
              <w:t>联合体投标</w:t>
            </w:r>
          </w:p>
        </w:tc>
        <w:tc>
          <w:tcPr>
            <w:tcW w:w="6875" w:type="dxa"/>
            <w:tcBorders>
              <w:top w:val="single" w:color="000000" w:sz="4" w:space="0"/>
              <w:left w:val="single" w:color="000000" w:sz="4" w:space="0"/>
              <w:bottom w:val="single" w:color="000000" w:sz="4" w:space="0"/>
              <w:right w:val="single" w:color="000000" w:sz="4" w:space="0"/>
            </w:tcBorders>
            <w:vAlign w:val="center"/>
          </w:tcPr>
          <w:p w14:paraId="1423CF4D">
            <w:pPr>
              <w:widowControl/>
              <w:spacing w:line="288" w:lineRule="auto"/>
              <w:ind w:firstLine="420" w:firstLineChars="200"/>
              <w:rPr>
                <w:rFonts w:hint="eastAsia" w:ascii="宋体" w:hAnsi="宋体" w:cs="宋体"/>
                <w:color w:val="000000"/>
                <w:szCs w:val="21"/>
                <w:shd w:val="clear" w:color="auto" w:fill="FFFFFF"/>
                <w:lang w:bidi="zh-CN"/>
              </w:rPr>
            </w:pPr>
            <w:r>
              <w:rPr>
                <w:rFonts w:hint="eastAsia" w:ascii="宋体" w:hAnsi="宋体" w:cs="宋体"/>
                <w:color w:val="000000"/>
                <w:szCs w:val="21"/>
                <w:shd w:val="clear" w:color="auto" w:fill="FFFFFF"/>
                <w:lang w:bidi="zh-CN"/>
              </w:rPr>
              <w:t>本项目不接授联合体投标</w:t>
            </w:r>
          </w:p>
        </w:tc>
      </w:tr>
      <w:tr w14:paraId="27D0DA4B">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1B7ACEA9">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11</w:t>
            </w:r>
          </w:p>
        </w:tc>
        <w:tc>
          <w:tcPr>
            <w:tcW w:w="1515" w:type="dxa"/>
            <w:vMerge w:val="restart"/>
            <w:tcBorders>
              <w:top w:val="single" w:color="000000" w:sz="4" w:space="0"/>
              <w:left w:val="single" w:color="000000" w:sz="4" w:space="0"/>
              <w:right w:val="single" w:color="000000" w:sz="4" w:space="0"/>
            </w:tcBorders>
            <w:vAlign w:val="center"/>
          </w:tcPr>
          <w:p w14:paraId="45B0ADE6">
            <w:pPr>
              <w:pStyle w:val="10"/>
              <w:tabs>
                <w:tab w:val="left" w:pos="1583"/>
              </w:tabs>
              <w:spacing w:line="440" w:lineRule="exact"/>
              <w:ind w:left="0" w:firstLine="0"/>
              <w:rPr>
                <w:rFonts w:hint="eastAsia"/>
                <w:color w:val="000000"/>
                <w:szCs w:val="21"/>
                <w:shd w:val="clear" w:color="auto" w:fill="FFFFFF"/>
                <w:lang w:val="en-US"/>
              </w:rPr>
            </w:pPr>
            <w:r>
              <w:rPr>
                <w:rFonts w:hint="eastAsia"/>
                <w:color w:val="000000"/>
                <w:szCs w:val="21"/>
                <w:shd w:val="clear" w:color="auto" w:fill="FFFFFF"/>
                <w:lang w:val="en-US"/>
              </w:rPr>
              <w:t>符合性审查</w:t>
            </w:r>
          </w:p>
        </w:tc>
        <w:tc>
          <w:tcPr>
            <w:tcW w:w="6875" w:type="dxa"/>
            <w:tcBorders>
              <w:top w:val="single" w:color="000000" w:sz="4" w:space="0"/>
              <w:left w:val="single" w:color="000000" w:sz="4" w:space="0"/>
              <w:bottom w:val="single" w:color="000000" w:sz="4" w:space="0"/>
              <w:right w:val="single" w:color="000000" w:sz="4" w:space="0"/>
            </w:tcBorders>
            <w:vAlign w:val="center"/>
          </w:tcPr>
          <w:p w14:paraId="2DD8BC81">
            <w:pPr>
              <w:pStyle w:val="10"/>
              <w:tabs>
                <w:tab w:val="left" w:pos="1583"/>
              </w:tabs>
              <w:spacing w:line="44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响应文件按遴选文件规定密封。</w:t>
            </w:r>
          </w:p>
        </w:tc>
      </w:tr>
      <w:tr w14:paraId="6F9F9D41">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0E17E4F8">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12</w:t>
            </w:r>
          </w:p>
        </w:tc>
        <w:tc>
          <w:tcPr>
            <w:tcW w:w="1515" w:type="dxa"/>
            <w:vMerge w:val="continue"/>
            <w:tcBorders>
              <w:left w:val="single" w:color="000000" w:sz="4" w:space="0"/>
              <w:right w:val="single" w:color="000000" w:sz="4" w:space="0"/>
            </w:tcBorders>
            <w:vAlign w:val="center"/>
          </w:tcPr>
          <w:p w14:paraId="3691C9CB">
            <w:pPr>
              <w:pStyle w:val="10"/>
              <w:tabs>
                <w:tab w:val="left" w:pos="1583"/>
              </w:tabs>
              <w:spacing w:line="440" w:lineRule="exact"/>
              <w:ind w:left="0" w:firstLine="0"/>
              <w:rPr>
                <w:rFonts w:hint="eastAsia"/>
                <w:color w:val="000000"/>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66BE9F02">
            <w:pPr>
              <w:pStyle w:val="10"/>
              <w:tabs>
                <w:tab w:val="left" w:pos="1583"/>
              </w:tabs>
              <w:spacing w:line="44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响应文件均按遴选文件规定加盖单位公章或签字。</w:t>
            </w:r>
          </w:p>
        </w:tc>
      </w:tr>
      <w:tr w14:paraId="1506048D">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49D7F37D">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13</w:t>
            </w:r>
          </w:p>
        </w:tc>
        <w:tc>
          <w:tcPr>
            <w:tcW w:w="1515" w:type="dxa"/>
            <w:vMerge w:val="continue"/>
            <w:tcBorders>
              <w:left w:val="single" w:color="000000" w:sz="4" w:space="0"/>
              <w:right w:val="single" w:color="000000" w:sz="4" w:space="0"/>
            </w:tcBorders>
            <w:vAlign w:val="center"/>
          </w:tcPr>
          <w:p w14:paraId="55255A30">
            <w:pPr>
              <w:pStyle w:val="10"/>
              <w:tabs>
                <w:tab w:val="left" w:pos="1583"/>
              </w:tabs>
              <w:spacing w:line="440" w:lineRule="exact"/>
              <w:ind w:left="0" w:firstLine="0"/>
              <w:rPr>
                <w:rFonts w:hint="eastAsia"/>
                <w:color w:val="000000"/>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25DE66B6">
            <w:pPr>
              <w:pStyle w:val="10"/>
              <w:tabs>
                <w:tab w:val="left" w:pos="1583"/>
              </w:tabs>
              <w:spacing w:line="44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响应文件中无字迹模糊不清导致无法辨认的情形。</w:t>
            </w:r>
          </w:p>
        </w:tc>
      </w:tr>
      <w:tr w14:paraId="60A97FD8">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279F2F4D">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14</w:t>
            </w:r>
          </w:p>
        </w:tc>
        <w:tc>
          <w:tcPr>
            <w:tcW w:w="1515" w:type="dxa"/>
            <w:vMerge w:val="continue"/>
            <w:tcBorders>
              <w:left w:val="single" w:color="000000" w:sz="4" w:space="0"/>
              <w:right w:val="single" w:color="000000" w:sz="4" w:space="0"/>
            </w:tcBorders>
            <w:vAlign w:val="center"/>
          </w:tcPr>
          <w:p w14:paraId="27888301">
            <w:pPr>
              <w:pStyle w:val="10"/>
              <w:tabs>
                <w:tab w:val="left" w:pos="1583"/>
              </w:tabs>
              <w:spacing w:line="440" w:lineRule="exact"/>
              <w:ind w:left="0" w:firstLine="0"/>
              <w:rPr>
                <w:rFonts w:hint="eastAsia"/>
                <w:color w:val="000000"/>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1C01976E">
            <w:pPr>
              <w:pStyle w:val="10"/>
              <w:tabs>
                <w:tab w:val="left" w:pos="1583"/>
              </w:tabs>
              <w:spacing w:line="44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遴选申请人提供的资料弄虚作假并认定为不真实的情形。</w:t>
            </w:r>
          </w:p>
        </w:tc>
      </w:tr>
      <w:tr w14:paraId="79B9BFF0">
        <w:tblPrEx>
          <w:tblCellMar>
            <w:top w:w="0" w:type="dxa"/>
            <w:left w:w="108" w:type="dxa"/>
            <w:bottom w:w="0" w:type="dxa"/>
            <w:right w:w="108" w:type="dxa"/>
          </w:tblCellMar>
        </w:tblPrEx>
        <w:trPr>
          <w:trHeight w:val="377" w:hRule="atLeast"/>
          <w:jc w:val="center"/>
        </w:trPr>
        <w:tc>
          <w:tcPr>
            <w:tcW w:w="792" w:type="dxa"/>
            <w:tcBorders>
              <w:top w:val="single" w:color="000000" w:sz="4" w:space="0"/>
              <w:left w:val="single" w:color="000000" w:sz="4" w:space="0"/>
              <w:bottom w:val="single" w:color="000000" w:sz="4" w:space="0"/>
              <w:right w:val="single" w:color="000000" w:sz="4" w:space="0"/>
            </w:tcBorders>
            <w:vAlign w:val="center"/>
          </w:tcPr>
          <w:p w14:paraId="3B5A3105">
            <w:pPr>
              <w:pStyle w:val="10"/>
              <w:tabs>
                <w:tab w:val="left" w:pos="1583"/>
              </w:tabs>
              <w:spacing w:line="440" w:lineRule="exact"/>
              <w:ind w:left="0" w:firstLine="0"/>
              <w:jc w:val="center"/>
              <w:rPr>
                <w:rFonts w:hint="eastAsia"/>
                <w:b/>
                <w:color w:val="000000"/>
                <w:szCs w:val="21"/>
                <w:lang w:val="en-US"/>
              </w:rPr>
            </w:pPr>
            <w:r>
              <w:rPr>
                <w:rFonts w:hint="eastAsia"/>
                <w:b/>
                <w:color w:val="000000"/>
                <w:szCs w:val="21"/>
                <w:lang w:val="en-US"/>
              </w:rPr>
              <w:t>15</w:t>
            </w:r>
          </w:p>
        </w:tc>
        <w:tc>
          <w:tcPr>
            <w:tcW w:w="1515" w:type="dxa"/>
            <w:vMerge w:val="continue"/>
            <w:tcBorders>
              <w:left w:val="single" w:color="000000" w:sz="4" w:space="0"/>
              <w:bottom w:val="single" w:color="000000" w:sz="4" w:space="0"/>
              <w:right w:val="single" w:color="000000" w:sz="4" w:space="0"/>
            </w:tcBorders>
            <w:vAlign w:val="center"/>
          </w:tcPr>
          <w:p w14:paraId="5FA6E653">
            <w:pPr>
              <w:pStyle w:val="10"/>
              <w:tabs>
                <w:tab w:val="left" w:pos="1583"/>
              </w:tabs>
              <w:spacing w:line="440" w:lineRule="exact"/>
              <w:ind w:left="0" w:firstLine="0"/>
              <w:rPr>
                <w:rFonts w:hint="eastAsia"/>
                <w:color w:val="000000"/>
                <w:szCs w:val="21"/>
                <w:shd w:val="clear" w:color="auto" w:fill="FFFFFF"/>
                <w:lang w:val="en-US"/>
              </w:rPr>
            </w:pPr>
          </w:p>
        </w:tc>
        <w:tc>
          <w:tcPr>
            <w:tcW w:w="6875" w:type="dxa"/>
            <w:tcBorders>
              <w:top w:val="single" w:color="000000" w:sz="4" w:space="0"/>
              <w:left w:val="single" w:color="000000" w:sz="4" w:space="0"/>
              <w:bottom w:val="single" w:color="000000" w:sz="4" w:space="0"/>
              <w:right w:val="single" w:color="000000" w:sz="4" w:space="0"/>
            </w:tcBorders>
            <w:vAlign w:val="center"/>
          </w:tcPr>
          <w:p w14:paraId="073B82AD">
            <w:pPr>
              <w:pStyle w:val="10"/>
              <w:tabs>
                <w:tab w:val="left" w:pos="1583"/>
              </w:tabs>
              <w:spacing w:line="440" w:lineRule="exact"/>
              <w:ind w:left="0" w:firstLine="420" w:firstLineChars="200"/>
              <w:rPr>
                <w:rFonts w:hint="eastAsia"/>
                <w:color w:val="000000"/>
                <w:szCs w:val="21"/>
                <w:shd w:val="clear" w:color="auto" w:fill="FFFFFF"/>
                <w:lang w:val="en-US"/>
              </w:rPr>
            </w:pPr>
            <w:r>
              <w:rPr>
                <w:rFonts w:hint="eastAsia"/>
                <w:color w:val="000000"/>
                <w:szCs w:val="21"/>
                <w:shd w:val="clear" w:color="auto" w:fill="FFFFFF"/>
                <w:lang w:val="en-US"/>
              </w:rPr>
              <w:t>对于遴选文件的实质性条款均已响应。</w:t>
            </w:r>
          </w:p>
        </w:tc>
      </w:tr>
    </w:tbl>
    <w:p w14:paraId="5485177E">
      <w:pPr>
        <w:spacing w:after="31"/>
        <w:ind w:firstLine="3361" w:firstLineChars="1395"/>
        <w:jc w:val="left"/>
        <w:rPr>
          <w:rFonts w:hint="eastAsia" w:ascii="宋体" w:hAnsi="宋体" w:cs="宋体"/>
          <w:b/>
          <w:bCs/>
          <w:color w:val="000000"/>
          <w:sz w:val="24"/>
          <w:lang w:val="zh-CN" w:bidi="zh-CN"/>
        </w:rPr>
      </w:pPr>
    </w:p>
    <w:p w14:paraId="3B28850B">
      <w:pPr>
        <w:spacing w:after="31"/>
        <w:ind w:firstLine="3361" w:firstLineChars="1395"/>
        <w:jc w:val="left"/>
        <w:rPr>
          <w:rFonts w:hint="eastAsia" w:ascii="宋体" w:hAnsi="宋体" w:cs="宋体"/>
          <w:b/>
          <w:bCs/>
          <w:color w:val="000000"/>
          <w:sz w:val="24"/>
          <w:lang w:val="zh-CN" w:bidi="zh-CN"/>
        </w:rPr>
      </w:pPr>
    </w:p>
    <w:p w14:paraId="6E01263B">
      <w:pPr>
        <w:spacing w:after="31"/>
        <w:ind w:firstLine="3361" w:firstLineChars="1395"/>
        <w:jc w:val="left"/>
        <w:rPr>
          <w:rFonts w:hint="eastAsia" w:ascii="宋体" w:hAnsi="宋体" w:cs="宋体"/>
          <w:b/>
          <w:bCs/>
          <w:color w:val="000000"/>
          <w:sz w:val="24"/>
          <w:lang w:val="zh-CN" w:bidi="zh-CN"/>
        </w:rPr>
      </w:pPr>
    </w:p>
    <w:p w14:paraId="081EE5CF">
      <w:pPr>
        <w:spacing w:after="31"/>
        <w:ind w:firstLine="3361" w:firstLineChars="1395"/>
        <w:jc w:val="left"/>
        <w:rPr>
          <w:rFonts w:hint="eastAsia" w:ascii="宋体" w:hAnsi="宋体" w:cs="宋体"/>
          <w:b/>
          <w:bCs/>
          <w:color w:val="000000"/>
          <w:sz w:val="24"/>
          <w:lang w:val="zh-CN" w:bidi="zh-CN"/>
        </w:rPr>
      </w:pPr>
    </w:p>
    <w:p w14:paraId="57ECA7F2">
      <w:pPr>
        <w:spacing w:after="31"/>
        <w:ind w:firstLine="3361" w:firstLineChars="1395"/>
        <w:jc w:val="left"/>
        <w:rPr>
          <w:rFonts w:hint="eastAsia" w:ascii="宋体" w:hAnsi="宋体" w:cs="宋体"/>
          <w:b/>
          <w:bCs/>
          <w:color w:val="000000"/>
          <w:sz w:val="24"/>
          <w:lang w:val="zh-CN" w:bidi="zh-CN"/>
        </w:rPr>
      </w:pPr>
    </w:p>
    <w:p w14:paraId="3AC9F526">
      <w:pPr>
        <w:spacing w:after="31"/>
        <w:ind w:firstLine="3361" w:firstLineChars="1395"/>
        <w:jc w:val="left"/>
        <w:rPr>
          <w:rFonts w:hint="eastAsia" w:ascii="宋体" w:hAnsi="宋体" w:cs="宋体"/>
          <w:b/>
          <w:bCs/>
          <w:color w:val="000000"/>
          <w:sz w:val="24"/>
          <w:lang w:val="zh-CN" w:bidi="zh-CN"/>
        </w:rPr>
      </w:pPr>
    </w:p>
    <w:p w14:paraId="6F068A4B">
      <w:pPr>
        <w:spacing w:after="31"/>
        <w:ind w:firstLine="3361" w:firstLineChars="1395"/>
        <w:jc w:val="left"/>
        <w:rPr>
          <w:rFonts w:hint="eastAsia" w:ascii="宋体" w:hAnsi="宋体" w:cs="宋体"/>
          <w:b/>
          <w:bCs/>
          <w:color w:val="000000"/>
          <w:sz w:val="24"/>
          <w:lang w:val="zh-CN" w:bidi="zh-CN"/>
        </w:rPr>
      </w:pPr>
    </w:p>
    <w:p w14:paraId="7A18E5F8">
      <w:pPr>
        <w:spacing w:after="31"/>
        <w:ind w:firstLine="3361" w:firstLineChars="1395"/>
        <w:jc w:val="left"/>
        <w:rPr>
          <w:rFonts w:hint="eastAsia" w:ascii="宋体" w:hAnsi="宋体" w:cs="宋体"/>
          <w:b/>
          <w:bCs/>
          <w:color w:val="000000"/>
          <w:sz w:val="24"/>
          <w:lang w:val="zh-CN" w:bidi="zh-CN"/>
        </w:rPr>
      </w:pPr>
    </w:p>
    <w:p w14:paraId="4AD6A5B6">
      <w:pPr>
        <w:spacing w:after="31"/>
        <w:ind w:firstLine="3361" w:firstLineChars="1395"/>
        <w:jc w:val="left"/>
        <w:rPr>
          <w:rFonts w:hint="eastAsia" w:ascii="宋体" w:hAnsi="宋体" w:cs="宋体"/>
          <w:b/>
          <w:bCs/>
          <w:color w:val="000000"/>
          <w:sz w:val="24"/>
          <w:lang w:val="zh-CN" w:bidi="zh-CN"/>
        </w:rPr>
      </w:pPr>
    </w:p>
    <w:p w14:paraId="314CE45C">
      <w:pPr>
        <w:spacing w:after="31"/>
        <w:ind w:firstLine="3361" w:firstLineChars="1395"/>
        <w:jc w:val="left"/>
        <w:rPr>
          <w:rFonts w:hint="eastAsia" w:ascii="宋体" w:hAnsi="宋体" w:cs="宋体"/>
          <w:b/>
          <w:bCs/>
          <w:color w:val="000000"/>
          <w:sz w:val="24"/>
          <w:lang w:val="zh-CN" w:bidi="zh-CN"/>
        </w:rPr>
      </w:pPr>
    </w:p>
    <w:p w14:paraId="56418AEB">
      <w:pPr>
        <w:spacing w:after="31"/>
        <w:ind w:firstLine="3361" w:firstLineChars="1395"/>
        <w:jc w:val="left"/>
        <w:rPr>
          <w:rFonts w:hint="eastAsia" w:ascii="宋体" w:hAnsi="宋体" w:cs="宋体"/>
          <w:b/>
          <w:bCs/>
          <w:color w:val="000000"/>
          <w:sz w:val="24"/>
          <w:lang w:val="zh-CN" w:bidi="zh-CN"/>
        </w:rPr>
      </w:pPr>
    </w:p>
    <w:p w14:paraId="348AA270">
      <w:pPr>
        <w:spacing w:after="31"/>
        <w:ind w:firstLine="3361" w:firstLineChars="1395"/>
        <w:jc w:val="left"/>
        <w:rPr>
          <w:rFonts w:hint="eastAsia" w:ascii="宋体" w:hAnsi="宋体" w:cs="宋体"/>
          <w:b/>
          <w:bCs/>
          <w:color w:val="000000"/>
          <w:sz w:val="24"/>
          <w:lang w:val="zh-CN" w:bidi="zh-CN"/>
        </w:rPr>
      </w:pPr>
    </w:p>
    <w:p w14:paraId="39236E53">
      <w:pPr>
        <w:spacing w:after="31"/>
        <w:ind w:firstLine="3361" w:firstLineChars="1395"/>
        <w:jc w:val="left"/>
        <w:rPr>
          <w:rFonts w:hint="eastAsia" w:ascii="宋体" w:hAnsi="宋体" w:cs="宋体"/>
          <w:b/>
          <w:bCs/>
          <w:color w:val="000000"/>
          <w:sz w:val="24"/>
          <w:lang w:val="zh-CN" w:bidi="zh-CN"/>
        </w:rPr>
      </w:pPr>
    </w:p>
    <w:p w14:paraId="722A56D0">
      <w:pPr>
        <w:spacing w:after="31"/>
        <w:ind w:firstLine="3361" w:firstLineChars="1395"/>
        <w:jc w:val="left"/>
        <w:rPr>
          <w:rFonts w:hint="eastAsia" w:ascii="宋体" w:hAnsi="宋体" w:cs="宋体"/>
          <w:b/>
          <w:bCs/>
          <w:color w:val="000000"/>
          <w:sz w:val="24"/>
          <w:lang w:val="zh-CN" w:bidi="zh-CN"/>
        </w:rPr>
      </w:pPr>
    </w:p>
    <w:p w14:paraId="18BE41EA">
      <w:pPr>
        <w:spacing w:after="31"/>
        <w:ind w:firstLine="3361" w:firstLineChars="1395"/>
        <w:jc w:val="left"/>
        <w:rPr>
          <w:rFonts w:hint="eastAsia" w:ascii="宋体" w:hAnsi="宋体" w:cs="宋体"/>
          <w:b/>
          <w:bCs/>
          <w:color w:val="000000"/>
          <w:sz w:val="24"/>
          <w:lang w:val="zh-CN" w:bidi="zh-CN"/>
        </w:rPr>
      </w:pPr>
    </w:p>
    <w:p w14:paraId="64835C00">
      <w:pPr>
        <w:spacing w:after="31"/>
        <w:ind w:firstLine="3361" w:firstLineChars="1395"/>
        <w:jc w:val="left"/>
        <w:rPr>
          <w:rFonts w:hint="eastAsia" w:ascii="宋体" w:hAnsi="宋体" w:cs="宋体"/>
          <w:b/>
          <w:bCs/>
          <w:color w:val="000000"/>
          <w:sz w:val="24"/>
          <w:lang w:val="zh-CN" w:bidi="zh-CN"/>
        </w:rPr>
      </w:pPr>
    </w:p>
    <w:p w14:paraId="44CE2207">
      <w:pPr>
        <w:spacing w:after="31"/>
        <w:ind w:firstLine="3361" w:firstLineChars="1395"/>
        <w:jc w:val="left"/>
        <w:rPr>
          <w:rFonts w:hint="eastAsia" w:ascii="宋体" w:hAnsi="宋体" w:cs="宋体"/>
          <w:b/>
          <w:bCs/>
          <w:color w:val="000000"/>
          <w:sz w:val="24"/>
          <w:lang w:val="zh-CN" w:bidi="zh-CN"/>
        </w:rPr>
      </w:pPr>
    </w:p>
    <w:p w14:paraId="513EAD35">
      <w:pPr>
        <w:pStyle w:val="6"/>
        <w:widowControl/>
        <w:shd w:val="clear" w:color="auto" w:fill="FFFFFF"/>
        <w:spacing w:beforeAutospacing="0" w:after="180" w:afterAutospacing="0" w:line="585" w:lineRule="atLeast"/>
        <w:rPr>
          <w:rFonts w:hint="eastAsia" w:ascii="仿宋_GB2312" w:hAnsi="Helvetica" w:eastAsia="仿宋_GB2312" w:cs="仿宋_GB2312"/>
          <w:color w:val="242424"/>
          <w:sz w:val="31"/>
          <w:szCs w:val="31"/>
          <w:shd w:val="clear" w:color="auto" w:fill="FFFFFF"/>
        </w:rPr>
      </w:pPr>
      <w:r>
        <w:rPr>
          <w:rFonts w:hint="eastAsia" w:ascii="仿宋_GB2312" w:hAnsi="Helvetica" w:eastAsia="仿宋_GB2312" w:cs="仿宋_GB2312"/>
          <w:color w:val="242424"/>
          <w:sz w:val="31"/>
          <w:szCs w:val="31"/>
          <w:shd w:val="clear" w:color="auto" w:fill="FFFFFF"/>
        </w:rPr>
        <w:t>附件2</w:t>
      </w:r>
    </w:p>
    <w:p w14:paraId="349C5DF0">
      <w:pPr>
        <w:spacing w:after="31"/>
        <w:ind w:firstLine="3361" w:firstLineChars="1395"/>
        <w:jc w:val="left"/>
        <w:rPr>
          <w:rFonts w:hint="eastAsia" w:ascii="宋体" w:hAnsi="宋体" w:cs="宋体"/>
          <w:b/>
          <w:bCs/>
          <w:color w:val="000000"/>
          <w:sz w:val="24"/>
          <w:lang w:val="zh-CN" w:bidi="zh-CN"/>
        </w:rPr>
      </w:pPr>
      <w:r>
        <w:rPr>
          <w:rFonts w:hint="eastAsia" w:ascii="宋体" w:hAnsi="宋体" w:cs="宋体"/>
          <w:b/>
          <w:bCs/>
          <w:color w:val="000000"/>
          <w:sz w:val="24"/>
          <w:lang w:val="zh-CN" w:bidi="zh-CN"/>
        </w:rPr>
        <w:t>评分标准</w:t>
      </w:r>
    </w:p>
    <w:tbl>
      <w:tblPr>
        <w:tblStyle w:val="8"/>
        <w:tblW w:w="9284" w:type="dxa"/>
        <w:jc w:val="center"/>
        <w:tblLayout w:type="fixed"/>
        <w:tblCellMar>
          <w:top w:w="0" w:type="dxa"/>
          <w:left w:w="108" w:type="dxa"/>
          <w:bottom w:w="0" w:type="dxa"/>
          <w:right w:w="108" w:type="dxa"/>
        </w:tblCellMar>
      </w:tblPr>
      <w:tblGrid>
        <w:gridCol w:w="646"/>
        <w:gridCol w:w="1502"/>
        <w:gridCol w:w="7136"/>
      </w:tblGrid>
      <w:tr w14:paraId="63126547">
        <w:tblPrEx>
          <w:tblCellMar>
            <w:top w:w="0" w:type="dxa"/>
            <w:left w:w="108" w:type="dxa"/>
            <w:bottom w:w="0" w:type="dxa"/>
            <w:right w:w="108" w:type="dxa"/>
          </w:tblCellMar>
        </w:tblPrEx>
        <w:trPr>
          <w:trHeight w:val="702"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1375D668">
            <w:pPr>
              <w:autoSpaceDE w:val="0"/>
              <w:spacing w:line="440" w:lineRule="exact"/>
              <w:jc w:val="center"/>
              <w:rPr>
                <w:rFonts w:hint="eastAsia" w:ascii="宋体" w:hAnsi="宋体"/>
                <w:color w:val="000000"/>
                <w:szCs w:val="21"/>
              </w:rPr>
            </w:pPr>
            <w:r>
              <w:rPr>
                <w:rFonts w:hint="eastAsia" w:ascii="宋体" w:hAnsi="宋体" w:cs="宋体"/>
                <w:b/>
                <w:color w:val="000000"/>
                <w:szCs w:val="21"/>
              </w:rPr>
              <w:t>序号</w:t>
            </w:r>
          </w:p>
        </w:tc>
        <w:tc>
          <w:tcPr>
            <w:tcW w:w="1502" w:type="dxa"/>
            <w:tcBorders>
              <w:top w:val="double" w:color="000000" w:sz="6" w:space="0"/>
              <w:left w:val="double" w:color="000000" w:sz="6" w:space="0"/>
              <w:bottom w:val="double" w:color="000000" w:sz="6" w:space="0"/>
              <w:right w:val="double" w:color="000000" w:sz="6" w:space="0"/>
            </w:tcBorders>
            <w:vAlign w:val="center"/>
          </w:tcPr>
          <w:p w14:paraId="3325ED88">
            <w:pPr>
              <w:autoSpaceDE w:val="0"/>
              <w:spacing w:line="440" w:lineRule="exact"/>
              <w:rPr>
                <w:rFonts w:hint="eastAsia" w:ascii="宋体" w:hAnsi="宋体"/>
                <w:color w:val="000000"/>
                <w:szCs w:val="21"/>
              </w:rPr>
            </w:pPr>
            <w:r>
              <w:rPr>
                <w:rFonts w:hint="eastAsia" w:ascii="宋体" w:hAnsi="宋体" w:cs="宋体"/>
                <w:b/>
                <w:bCs/>
                <w:color w:val="000000"/>
                <w:szCs w:val="21"/>
              </w:rPr>
              <w:t>评审内容</w:t>
            </w:r>
          </w:p>
        </w:tc>
        <w:tc>
          <w:tcPr>
            <w:tcW w:w="7136" w:type="dxa"/>
            <w:tcBorders>
              <w:top w:val="double" w:color="000000" w:sz="6" w:space="0"/>
              <w:left w:val="double" w:color="000000" w:sz="6" w:space="0"/>
              <w:bottom w:val="double" w:color="000000" w:sz="6" w:space="0"/>
              <w:right w:val="double" w:color="000000" w:sz="6" w:space="0"/>
            </w:tcBorders>
            <w:vAlign w:val="center"/>
          </w:tcPr>
          <w:p w14:paraId="180AA60F">
            <w:pPr>
              <w:autoSpaceDE w:val="0"/>
              <w:spacing w:line="440" w:lineRule="exact"/>
              <w:jc w:val="center"/>
              <w:rPr>
                <w:rFonts w:hint="eastAsia" w:ascii="宋体" w:hAnsi="宋体"/>
                <w:color w:val="000000"/>
                <w:szCs w:val="21"/>
              </w:rPr>
            </w:pPr>
            <w:r>
              <w:rPr>
                <w:rFonts w:hint="eastAsia" w:ascii="宋体" w:hAnsi="宋体" w:cs="宋体"/>
                <w:b/>
                <w:bCs/>
                <w:color w:val="000000"/>
                <w:szCs w:val="21"/>
              </w:rPr>
              <w:t>评分标准</w:t>
            </w:r>
          </w:p>
        </w:tc>
      </w:tr>
      <w:tr w14:paraId="385CDE42">
        <w:tblPrEx>
          <w:tblCellMar>
            <w:top w:w="0" w:type="dxa"/>
            <w:left w:w="108" w:type="dxa"/>
            <w:bottom w:w="0" w:type="dxa"/>
            <w:right w:w="108" w:type="dxa"/>
          </w:tblCellMar>
        </w:tblPrEx>
        <w:trPr>
          <w:trHeight w:val="761"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41324F63">
            <w:pPr>
              <w:autoSpaceDE w:val="0"/>
              <w:spacing w:line="440" w:lineRule="exact"/>
              <w:ind w:firstLine="108"/>
              <w:jc w:val="center"/>
              <w:rPr>
                <w:rFonts w:hint="eastAsia" w:ascii="宋体" w:hAnsi="宋体"/>
                <w:color w:val="000000"/>
                <w:szCs w:val="21"/>
              </w:rPr>
            </w:pPr>
            <w:r>
              <w:rPr>
                <w:rFonts w:hint="eastAsia" w:ascii="宋体" w:hAnsi="宋体" w:cs="宋体"/>
                <w:bCs/>
                <w:color w:val="000000"/>
                <w:szCs w:val="21"/>
              </w:rPr>
              <w:t>1</w:t>
            </w:r>
          </w:p>
        </w:tc>
        <w:tc>
          <w:tcPr>
            <w:tcW w:w="1502" w:type="dxa"/>
            <w:tcBorders>
              <w:top w:val="double" w:color="000000" w:sz="6" w:space="0"/>
              <w:left w:val="double" w:color="000000" w:sz="6" w:space="0"/>
              <w:bottom w:val="double" w:color="000000" w:sz="6" w:space="0"/>
              <w:right w:val="double" w:color="000000" w:sz="6" w:space="0"/>
            </w:tcBorders>
            <w:vAlign w:val="center"/>
          </w:tcPr>
          <w:p w14:paraId="7B96F553">
            <w:pPr>
              <w:widowControl/>
              <w:autoSpaceDE w:val="0"/>
              <w:snapToGrid w:val="0"/>
              <w:spacing w:line="440" w:lineRule="exact"/>
              <w:ind w:right="420"/>
              <w:jc w:val="center"/>
              <w:rPr>
                <w:rFonts w:ascii="宋体" w:hAnsi="宋体" w:cs="宋体"/>
                <w:color w:val="000000"/>
                <w:kern w:val="0"/>
                <w:szCs w:val="21"/>
              </w:rPr>
            </w:pPr>
            <w:r>
              <w:rPr>
                <w:rFonts w:hint="eastAsia" w:ascii="宋体" w:hAnsi="宋体" w:cs="宋体"/>
                <w:color w:val="000000"/>
                <w:kern w:val="0"/>
                <w:szCs w:val="21"/>
              </w:rPr>
              <w:t>服务报价</w:t>
            </w:r>
          </w:p>
          <w:p w14:paraId="44203262">
            <w:pPr>
              <w:widowControl/>
              <w:autoSpaceDE w:val="0"/>
              <w:snapToGrid w:val="0"/>
              <w:spacing w:line="440" w:lineRule="exact"/>
              <w:ind w:right="420"/>
              <w:jc w:val="center"/>
              <w:rPr>
                <w:rFonts w:hint="eastAsia" w:ascii="宋体" w:hAnsi="宋体" w:eastAsia="仿宋"/>
                <w:color w:val="000000"/>
                <w:szCs w:val="21"/>
              </w:rPr>
            </w:pPr>
            <w:r>
              <w:rPr>
                <w:rFonts w:hint="eastAsia" w:ascii="宋体" w:hAnsi="宋体" w:cs="宋体"/>
                <w:color w:val="000000"/>
                <w:kern w:val="0"/>
                <w:szCs w:val="21"/>
              </w:rPr>
              <w:t>（</w:t>
            </w:r>
            <w:r>
              <w:rPr>
                <w:rFonts w:hint="eastAsia" w:ascii="宋体" w:hAnsi="宋体" w:cs="宋体"/>
                <w:color w:val="FF0000"/>
                <w:kern w:val="0"/>
                <w:szCs w:val="21"/>
              </w:rPr>
              <w:t>20</w:t>
            </w:r>
            <w:r>
              <w:rPr>
                <w:rFonts w:hint="eastAsia" w:ascii="宋体" w:hAnsi="宋体" w:cs="宋体"/>
                <w:color w:val="000000"/>
                <w:kern w:val="0"/>
                <w:szCs w:val="21"/>
              </w:rPr>
              <w:t>分</w:t>
            </w:r>
            <w:r>
              <w:rPr>
                <w:rFonts w:hint="eastAsia" w:ascii="仿宋" w:hAnsi="仿宋" w:eastAsia="仿宋" w:cs="仿宋"/>
                <w:color w:val="000000"/>
                <w:sz w:val="24"/>
              </w:rPr>
              <w:t>）</w:t>
            </w:r>
          </w:p>
        </w:tc>
        <w:tc>
          <w:tcPr>
            <w:tcW w:w="7136" w:type="dxa"/>
            <w:tcBorders>
              <w:top w:val="double" w:color="000000" w:sz="6" w:space="0"/>
              <w:left w:val="double" w:color="000000" w:sz="6" w:space="0"/>
              <w:bottom w:val="double" w:color="000000" w:sz="6" w:space="0"/>
              <w:right w:val="double" w:color="000000" w:sz="6" w:space="0"/>
            </w:tcBorders>
            <w:vAlign w:val="center"/>
          </w:tcPr>
          <w:p w14:paraId="40591EEF">
            <w:pPr>
              <w:spacing w:line="440" w:lineRule="exact"/>
              <w:rPr>
                <w:rFonts w:hint="eastAsia" w:ascii="宋体" w:hAnsi="宋体"/>
                <w:color w:val="000000"/>
                <w:szCs w:val="21"/>
              </w:rPr>
            </w:pPr>
            <w:r>
              <w:rPr>
                <w:rFonts w:hint="eastAsia" w:ascii="宋体" w:hAnsi="宋体"/>
                <w:color w:val="000000"/>
                <w:szCs w:val="21"/>
              </w:rPr>
              <w:t>代理服务费按照《招标代理服务收费管理暂行办法》计价格[2002]1980号文件收费标准，每下浮1个整百分点得1分（不足1个百分点的不计分）。例：下浮率为20%，则得分</w:t>
            </w:r>
            <w:r>
              <w:rPr>
                <w:rFonts w:hint="eastAsia" w:ascii="宋体" w:hAnsi="宋体"/>
                <w:color w:val="FF0000"/>
                <w:szCs w:val="21"/>
              </w:rPr>
              <w:t>20</w:t>
            </w:r>
            <w:r>
              <w:rPr>
                <w:rFonts w:hint="eastAsia" w:ascii="宋体" w:hAnsi="宋体"/>
                <w:color w:val="000000"/>
                <w:szCs w:val="21"/>
              </w:rPr>
              <w:t>分，下浮率为</w:t>
            </w:r>
            <w:r>
              <w:rPr>
                <w:rFonts w:hint="eastAsia" w:ascii="宋体" w:hAnsi="宋体"/>
                <w:color w:val="FF0000"/>
                <w:szCs w:val="21"/>
              </w:rPr>
              <w:t>19</w:t>
            </w:r>
            <w:r>
              <w:rPr>
                <w:rFonts w:hint="eastAsia" w:ascii="宋体" w:hAnsi="宋体"/>
                <w:color w:val="000000"/>
                <w:szCs w:val="21"/>
              </w:rPr>
              <w:t>%，则得分</w:t>
            </w:r>
            <w:r>
              <w:rPr>
                <w:rFonts w:hint="eastAsia" w:ascii="宋体" w:hAnsi="宋体"/>
                <w:color w:val="FF0000"/>
                <w:szCs w:val="21"/>
              </w:rPr>
              <w:t>19</w:t>
            </w:r>
            <w:r>
              <w:rPr>
                <w:rFonts w:hint="eastAsia" w:ascii="宋体" w:hAnsi="宋体"/>
                <w:color w:val="000000"/>
                <w:szCs w:val="21"/>
              </w:rPr>
              <w:t>分，以此类推。</w:t>
            </w:r>
          </w:p>
        </w:tc>
      </w:tr>
      <w:tr w14:paraId="6C080FAB">
        <w:tblPrEx>
          <w:tblCellMar>
            <w:top w:w="0" w:type="dxa"/>
            <w:left w:w="108" w:type="dxa"/>
            <w:bottom w:w="0" w:type="dxa"/>
            <w:right w:w="108" w:type="dxa"/>
          </w:tblCellMar>
        </w:tblPrEx>
        <w:trPr>
          <w:trHeight w:val="5037" w:hRule="atLeast"/>
          <w:jc w:val="center"/>
        </w:trPr>
        <w:tc>
          <w:tcPr>
            <w:tcW w:w="646" w:type="dxa"/>
            <w:tcBorders>
              <w:top w:val="double" w:color="000000" w:sz="6" w:space="0"/>
              <w:left w:val="double" w:color="000000" w:sz="6" w:space="0"/>
              <w:bottom w:val="double" w:color="000000" w:sz="6" w:space="0"/>
              <w:right w:val="double" w:color="000000" w:sz="6" w:space="0"/>
            </w:tcBorders>
            <w:vAlign w:val="center"/>
          </w:tcPr>
          <w:p w14:paraId="17412741">
            <w:pPr>
              <w:autoSpaceDE w:val="0"/>
              <w:spacing w:line="440" w:lineRule="exact"/>
              <w:ind w:firstLine="108"/>
              <w:jc w:val="center"/>
              <w:rPr>
                <w:rFonts w:hint="eastAsia" w:ascii="宋体" w:hAnsi="宋体" w:cs="宋体"/>
                <w:bCs/>
                <w:color w:val="000000"/>
                <w:szCs w:val="21"/>
              </w:rPr>
            </w:pPr>
            <w:r>
              <w:rPr>
                <w:rFonts w:hint="eastAsia" w:ascii="宋体" w:hAnsi="宋体" w:cs="宋体"/>
                <w:bCs/>
                <w:color w:val="000000"/>
                <w:szCs w:val="21"/>
              </w:rPr>
              <w:t>2</w:t>
            </w:r>
          </w:p>
        </w:tc>
        <w:tc>
          <w:tcPr>
            <w:tcW w:w="1502" w:type="dxa"/>
            <w:tcBorders>
              <w:top w:val="double" w:color="000000" w:sz="6" w:space="0"/>
              <w:left w:val="double" w:color="000000" w:sz="6" w:space="0"/>
              <w:bottom w:val="double" w:color="000000" w:sz="6" w:space="0"/>
              <w:right w:val="double" w:color="000000" w:sz="6" w:space="0"/>
            </w:tcBorders>
            <w:vAlign w:val="center"/>
          </w:tcPr>
          <w:p w14:paraId="77308F67">
            <w:pPr>
              <w:widowControl/>
              <w:autoSpaceDE w:val="0"/>
              <w:snapToGrid w:val="0"/>
              <w:spacing w:line="440" w:lineRule="exact"/>
              <w:jc w:val="right"/>
              <w:rPr>
                <w:rFonts w:hint="eastAsia" w:ascii="宋体" w:hAnsi="宋体" w:cs="宋体"/>
                <w:color w:val="000000"/>
                <w:kern w:val="0"/>
                <w:szCs w:val="21"/>
              </w:rPr>
            </w:pPr>
            <w:r>
              <w:rPr>
                <w:rFonts w:hint="eastAsia" w:ascii="宋体" w:hAnsi="宋体" w:cs="宋体"/>
                <w:color w:val="000000"/>
                <w:kern w:val="0"/>
                <w:szCs w:val="21"/>
              </w:rPr>
              <w:t>人员情况（满分18分）</w:t>
            </w:r>
          </w:p>
        </w:tc>
        <w:tc>
          <w:tcPr>
            <w:tcW w:w="7136" w:type="dxa"/>
            <w:tcBorders>
              <w:top w:val="double" w:color="000000" w:sz="6" w:space="0"/>
              <w:left w:val="double" w:color="000000" w:sz="6" w:space="0"/>
              <w:bottom w:val="double" w:color="000000" w:sz="6" w:space="0"/>
              <w:right w:val="double" w:color="000000" w:sz="6" w:space="0"/>
            </w:tcBorders>
            <w:vAlign w:val="center"/>
          </w:tcPr>
          <w:p w14:paraId="3230C46E">
            <w:pPr>
              <w:spacing w:line="440" w:lineRule="exact"/>
              <w:rPr>
                <w:rFonts w:hint="eastAsia" w:ascii="宋体" w:hAnsi="宋体"/>
                <w:color w:val="000000"/>
                <w:szCs w:val="21"/>
              </w:rPr>
            </w:pPr>
            <w:r>
              <w:rPr>
                <w:rFonts w:hint="eastAsia" w:ascii="宋体" w:hAnsi="宋体" w:cs="宋体"/>
                <w:b/>
                <w:bCs/>
                <w:color w:val="000000"/>
                <w:szCs w:val="21"/>
              </w:rPr>
              <w:t>拟派入本项目的人员配备情况（满分18分）</w:t>
            </w:r>
          </w:p>
          <w:p w14:paraId="66A3550A">
            <w:pPr>
              <w:widowControl/>
              <w:spacing w:line="440" w:lineRule="exact"/>
              <w:rPr>
                <w:rFonts w:hint="eastAsia" w:ascii="宋体" w:hAnsi="宋体"/>
                <w:color w:val="000000"/>
                <w:szCs w:val="21"/>
              </w:rPr>
            </w:pPr>
            <w:r>
              <w:rPr>
                <w:rFonts w:hint="eastAsia" w:ascii="宋体" w:hAnsi="宋体" w:cs="宋体"/>
                <w:color w:val="000000"/>
                <w:szCs w:val="21"/>
              </w:rPr>
              <w:t>（1）成立专门的项目组，项目负责人从业年限在5年以上的得3分，3年以上的得1分，其他不得分；具有高级职称的加3分，具有中级职称的加1分，其他不得分。满分6分。</w:t>
            </w:r>
          </w:p>
          <w:p w14:paraId="087A3D99">
            <w:pPr>
              <w:spacing w:line="440" w:lineRule="exact"/>
              <w:rPr>
                <w:rFonts w:hint="eastAsia" w:ascii="宋体" w:hAnsi="宋体"/>
                <w:color w:val="000000"/>
                <w:szCs w:val="21"/>
              </w:rPr>
            </w:pPr>
            <w:r>
              <w:rPr>
                <w:rFonts w:hint="eastAsia" w:ascii="宋体" w:hAnsi="宋体" w:cs="宋体"/>
                <w:b/>
                <w:bCs/>
                <w:color w:val="000000"/>
                <w:szCs w:val="21"/>
              </w:rPr>
              <w:t>注：须提供项目负责人职称证书、单位任职期限证明、</w:t>
            </w:r>
            <w:r>
              <w:rPr>
                <w:rFonts w:hint="eastAsia" w:ascii="宋体" w:hAnsi="宋体" w:cs="宋体"/>
                <w:b/>
                <w:bCs/>
                <w:color w:val="FF0000"/>
                <w:szCs w:val="21"/>
              </w:rPr>
              <w:t>2024</w:t>
            </w:r>
            <w:r>
              <w:rPr>
                <w:rFonts w:hint="eastAsia" w:ascii="宋体" w:hAnsi="宋体" w:cs="宋体"/>
                <w:b/>
                <w:bCs/>
                <w:color w:val="000000"/>
                <w:szCs w:val="21"/>
              </w:rPr>
              <w:t>年1月以来任意三个月的社保缴纳凭证等相关证明材料。</w:t>
            </w:r>
          </w:p>
          <w:p w14:paraId="4FEBEE78">
            <w:pPr>
              <w:numPr>
                <w:ilvl w:val="0"/>
                <w:numId w:val="1"/>
              </w:numPr>
              <w:spacing w:line="440" w:lineRule="exact"/>
              <w:rPr>
                <w:rFonts w:hint="eastAsia" w:ascii="宋体" w:hAnsi="宋体" w:cs="宋体"/>
                <w:color w:val="000000"/>
                <w:szCs w:val="21"/>
              </w:rPr>
            </w:pPr>
            <w:r>
              <w:rPr>
                <w:rFonts w:hint="eastAsia" w:ascii="宋体" w:hAnsi="宋体" w:cs="宋体"/>
                <w:color w:val="000000"/>
                <w:szCs w:val="21"/>
              </w:rPr>
              <w:t>除项目负责人外，项目组成员不低于3人，拥有熟悉招标投标法律法规、具备编制采购文件、招标文件和组织招投标活动等相应能力的专职从业人员数量满足3人得3分，每增加1人得1分，满分得6分。</w:t>
            </w:r>
          </w:p>
          <w:p w14:paraId="2CE1EB3C">
            <w:pPr>
              <w:spacing w:line="440" w:lineRule="exact"/>
              <w:rPr>
                <w:rFonts w:hint="eastAsia" w:ascii="宋体" w:hAnsi="宋体" w:cs="宋体"/>
                <w:color w:val="000000"/>
                <w:szCs w:val="21"/>
              </w:rPr>
            </w:pPr>
            <w:r>
              <w:rPr>
                <w:rFonts w:hint="eastAsia" w:ascii="宋体" w:hAnsi="宋体" w:cs="宋体"/>
                <w:b/>
                <w:bCs/>
                <w:color w:val="000000"/>
                <w:szCs w:val="21"/>
              </w:rPr>
              <w:t>注：提供招标采购专职人员证书，</w:t>
            </w:r>
            <w:r>
              <w:rPr>
                <w:rFonts w:hint="eastAsia" w:ascii="宋体" w:hAnsi="宋体" w:cs="宋体"/>
                <w:b/>
                <w:bCs/>
                <w:color w:val="FF0000"/>
                <w:szCs w:val="21"/>
              </w:rPr>
              <w:t>2024年</w:t>
            </w:r>
            <w:r>
              <w:rPr>
                <w:rFonts w:hint="eastAsia" w:ascii="宋体" w:hAnsi="宋体" w:cs="宋体"/>
                <w:b/>
                <w:bCs/>
                <w:color w:val="000000"/>
                <w:szCs w:val="21"/>
              </w:rPr>
              <w:t>以来任意三个月的社保缴纳凭证等相关证明材料。</w:t>
            </w:r>
          </w:p>
          <w:p w14:paraId="246C1D64">
            <w:pPr>
              <w:pStyle w:val="2"/>
              <w:numPr>
                <w:ilvl w:val="0"/>
                <w:numId w:val="1"/>
              </w:numPr>
              <w:ind w:firstLine="0"/>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招标代理机构具有专业法律顾问团队的得6分；提供律师事务所与招标代理机构签订法律顾问合同及</w:t>
            </w:r>
            <w:r>
              <w:rPr>
                <w:rFonts w:hint="eastAsia" w:ascii="宋体" w:hAnsi="宋体" w:eastAsia="宋体" w:cs="宋体"/>
                <w:color w:val="FF0000"/>
                <w:kern w:val="2"/>
                <w:sz w:val="21"/>
                <w:szCs w:val="21"/>
              </w:rPr>
              <w:t>2024</w:t>
            </w:r>
            <w:r>
              <w:rPr>
                <w:rFonts w:hint="eastAsia" w:ascii="宋体" w:hAnsi="宋体" w:eastAsia="宋体" w:cs="宋体"/>
                <w:color w:val="000000"/>
                <w:kern w:val="2"/>
                <w:sz w:val="21"/>
                <w:szCs w:val="21"/>
              </w:rPr>
              <w:t>年以来连续6个月的劳务报酬支付凭证（指对公账户支付凭证），聘用期限不得低于1年。</w:t>
            </w:r>
          </w:p>
          <w:p w14:paraId="5D832A8C">
            <w:pPr>
              <w:pStyle w:val="2"/>
              <w:ind w:firstLine="0"/>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注：资料提供不完整或缺项不得分。</w:t>
            </w:r>
          </w:p>
        </w:tc>
      </w:tr>
      <w:tr w14:paraId="69301183">
        <w:tblPrEx>
          <w:tblCellMar>
            <w:top w:w="0" w:type="dxa"/>
            <w:left w:w="108" w:type="dxa"/>
            <w:bottom w:w="0" w:type="dxa"/>
            <w:right w:w="108" w:type="dxa"/>
          </w:tblCellMar>
        </w:tblPrEx>
        <w:trPr>
          <w:cantSplit/>
          <w:trHeight w:val="6125"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5A5A4319">
            <w:pPr>
              <w:autoSpaceDE w:val="0"/>
              <w:spacing w:line="440" w:lineRule="exact"/>
              <w:ind w:firstLine="108"/>
              <w:jc w:val="center"/>
              <w:rPr>
                <w:rFonts w:hint="eastAsia" w:ascii="宋体" w:hAnsi="宋体"/>
                <w:color w:val="000000"/>
                <w:szCs w:val="21"/>
              </w:rPr>
            </w:pPr>
            <w:r>
              <w:rPr>
                <w:rFonts w:hint="eastAsia" w:ascii="宋体" w:hAnsi="宋体" w:cs="宋体"/>
                <w:bCs/>
                <w:color w:val="000000"/>
                <w:szCs w:val="21"/>
              </w:rPr>
              <w:t>3</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17CC65D1">
            <w:pPr>
              <w:pStyle w:val="11"/>
              <w:widowControl/>
              <w:autoSpaceDE w:val="0"/>
              <w:snapToGrid w:val="0"/>
              <w:spacing w:line="440" w:lineRule="exact"/>
              <w:jc w:val="center"/>
              <w:rPr>
                <w:rFonts w:hint="eastAsia"/>
                <w:color w:val="000000"/>
                <w:szCs w:val="21"/>
              </w:rPr>
            </w:pPr>
            <w:r>
              <w:rPr>
                <w:rFonts w:hint="eastAsia" w:cs="宋体"/>
                <w:color w:val="000000"/>
                <w:kern w:val="0"/>
                <w:szCs w:val="21"/>
              </w:rPr>
              <w:t>企业综合实力</w:t>
            </w:r>
          </w:p>
          <w:p w14:paraId="332F26F4">
            <w:pPr>
              <w:pStyle w:val="11"/>
              <w:widowControl/>
              <w:autoSpaceDE w:val="0"/>
              <w:snapToGrid w:val="0"/>
              <w:spacing w:line="440" w:lineRule="exact"/>
              <w:jc w:val="center"/>
              <w:rPr>
                <w:rFonts w:hint="eastAsia"/>
                <w:color w:val="000000"/>
                <w:szCs w:val="21"/>
              </w:rPr>
            </w:pPr>
            <w:r>
              <w:rPr>
                <w:rFonts w:hint="eastAsia" w:cs="宋体"/>
                <w:color w:val="000000"/>
                <w:kern w:val="0"/>
                <w:szCs w:val="21"/>
              </w:rPr>
              <w:t>（40分）</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7095819">
            <w:pPr>
              <w:spacing w:line="440" w:lineRule="exact"/>
              <w:rPr>
                <w:color w:val="FF0000"/>
                <w:szCs w:val="21"/>
              </w:rPr>
            </w:pPr>
            <w:r>
              <w:rPr>
                <w:rFonts w:hint="eastAsia"/>
                <w:color w:val="FF0000"/>
                <w:szCs w:val="21"/>
              </w:rPr>
              <w:t>（1）①提供1个近三年（2022年1月1日至投标截止日）招标采购或招标工程业绩得1分，本项最高得6分。②其中代理业绩中标金额由大至小排序，排名第一的得4分，其余依次按0.5分递减，最低分为0分。</w:t>
            </w:r>
          </w:p>
          <w:p w14:paraId="42F78FA6">
            <w:pPr>
              <w:spacing w:line="440" w:lineRule="exact"/>
              <w:rPr>
                <w:b/>
                <w:bCs/>
                <w:color w:val="000000"/>
                <w:szCs w:val="21"/>
              </w:rPr>
            </w:pPr>
            <w:r>
              <w:rPr>
                <w:rFonts w:hint="eastAsia"/>
                <w:color w:val="000000"/>
                <w:szCs w:val="21"/>
              </w:rPr>
              <w:t>注：</w:t>
            </w:r>
            <w:r>
              <w:rPr>
                <w:rFonts w:hint="eastAsia"/>
                <w:b/>
                <w:bCs/>
                <w:color w:val="000000"/>
                <w:szCs w:val="21"/>
              </w:rPr>
              <w:t>业绩证明材料需同时提供招标公告和中标候选人公示网页截图资料或同时提供合同协议书（或招标代理委托书）和</w:t>
            </w:r>
            <w:r>
              <w:rPr>
                <w:rFonts w:ascii="Calibri" w:hAnsi="宋体" w:cs="宋体"/>
                <w:b/>
                <w:color w:val="000000"/>
                <w:szCs w:val="21"/>
              </w:rPr>
              <w:t>向所招项目中标人发出的中标通知书</w:t>
            </w:r>
            <w:r>
              <w:rPr>
                <w:rFonts w:hint="eastAsia"/>
                <w:b/>
                <w:bCs/>
                <w:color w:val="000000"/>
                <w:szCs w:val="21"/>
              </w:rPr>
              <w:t>（或成交通知书）复印件，否则不予认可。</w:t>
            </w:r>
          </w:p>
          <w:p w14:paraId="7761BD99">
            <w:pPr>
              <w:spacing w:line="440" w:lineRule="exact"/>
              <w:rPr>
                <w:color w:val="000000"/>
                <w:szCs w:val="21"/>
              </w:rPr>
            </w:pPr>
            <w:r>
              <w:rPr>
                <w:rFonts w:hint="eastAsia"/>
                <w:color w:val="000000"/>
                <w:szCs w:val="21"/>
              </w:rPr>
              <w:t>（2）提供</w:t>
            </w:r>
            <w:r>
              <w:rPr>
                <w:rFonts w:hint="eastAsia"/>
                <w:color w:val="FF0000"/>
                <w:szCs w:val="21"/>
              </w:rPr>
              <w:t>2022</w:t>
            </w:r>
            <w:r>
              <w:rPr>
                <w:rFonts w:hint="eastAsia"/>
                <w:color w:val="000000"/>
                <w:szCs w:val="21"/>
              </w:rPr>
              <w:t>年1月1日以来入选（围）政府部门、事业单位或国有企业服务期为1年或以上招标采购代理库，提供一个得2分，本项最高得10分。</w:t>
            </w:r>
          </w:p>
          <w:p w14:paraId="3ADEBC89">
            <w:pPr>
              <w:spacing w:line="440" w:lineRule="exact"/>
              <w:rPr>
                <w:color w:val="000000"/>
                <w:szCs w:val="21"/>
              </w:rPr>
            </w:pPr>
            <w:r>
              <w:rPr>
                <w:rFonts w:hint="eastAsia"/>
                <w:b/>
                <w:bCs/>
                <w:color w:val="000000"/>
                <w:szCs w:val="21"/>
              </w:rPr>
              <w:t>注：提供入选（围）网页截图或入库（围）合同（或中标通知书）复印件，未提供不得分。</w:t>
            </w:r>
          </w:p>
          <w:p w14:paraId="3D2D1F33">
            <w:pPr>
              <w:spacing w:line="440" w:lineRule="exact"/>
              <w:rPr>
                <w:color w:val="000000"/>
                <w:szCs w:val="21"/>
              </w:rPr>
            </w:pPr>
            <w:r>
              <w:rPr>
                <w:rFonts w:hint="eastAsia"/>
                <w:color w:val="000000"/>
                <w:szCs w:val="21"/>
              </w:rPr>
              <w:t>（3）提供</w:t>
            </w:r>
            <w:r>
              <w:rPr>
                <w:rFonts w:hint="eastAsia"/>
                <w:color w:val="FF0000"/>
                <w:szCs w:val="21"/>
              </w:rPr>
              <w:t>2022</w:t>
            </w:r>
            <w:r>
              <w:rPr>
                <w:rFonts w:hint="eastAsia"/>
                <w:color w:val="000000"/>
                <w:szCs w:val="21"/>
              </w:rPr>
              <w:t>年1月1日以来采购人满意度在“优秀、好或满意及以上”的，每提供1个得0.5分，本项最高得4分。</w:t>
            </w:r>
          </w:p>
          <w:p w14:paraId="230DB5D6">
            <w:pPr>
              <w:spacing w:line="440" w:lineRule="exact"/>
              <w:rPr>
                <w:b/>
                <w:bCs/>
                <w:color w:val="000000"/>
                <w:szCs w:val="21"/>
              </w:rPr>
            </w:pPr>
            <w:r>
              <w:rPr>
                <w:rFonts w:hint="eastAsia"/>
                <w:b/>
                <w:bCs/>
                <w:color w:val="000000"/>
                <w:szCs w:val="21"/>
              </w:rPr>
              <w:t>注：提供加盖采购人（或招标人）公章的证明材料，同一采购人（或招标人）的采购（或招标）项目按一个有效材料予以计分。</w:t>
            </w:r>
          </w:p>
          <w:p w14:paraId="22C9C9BA">
            <w:pPr>
              <w:tabs>
                <w:tab w:val="left" w:pos="312"/>
              </w:tabs>
              <w:spacing w:line="440" w:lineRule="exact"/>
              <w:rPr>
                <w:color w:val="FF0000"/>
                <w:szCs w:val="21"/>
              </w:rPr>
            </w:pPr>
            <w:r>
              <w:rPr>
                <w:rFonts w:hint="eastAsia"/>
                <w:color w:val="FF0000"/>
                <w:szCs w:val="21"/>
              </w:rPr>
              <w:t>（4）①获得过优秀招标采购代理机构或招标代理诚实守信单位荣誉的一个得2分，本项最高得4分。②信用等级为AAA的得3分，AA的得2分，AA以下不得分。③通过质量管理体系认证得1分，通过环境管理体系认证得1分，通过职业健康安全管理体系认证得1分。④注册资金由大至小排序，排名第一的得3分，其余依次按0.5分递减，最低分为0分。</w:t>
            </w:r>
          </w:p>
          <w:p w14:paraId="0DA91655">
            <w:pPr>
              <w:pStyle w:val="2"/>
              <w:ind w:firstLine="0"/>
              <w:rPr>
                <w:rFonts w:hint="eastAsia" w:asciiTheme="minorHAnsi" w:hAnsiTheme="minorHAnsi" w:eastAsiaTheme="minorEastAsia" w:cstheme="minorBidi"/>
                <w:color w:val="FF0000"/>
                <w:kern w:val="2"/>
                <w:sz w:val="21"/>
                <w:szCs w:val="21"/>
              </w:rPr>
            </w:pPr>
            <w:r>
              <w:rPr>
                <w:rFonts w:hint="eastAsia" w:asciiTheme="minorHAnsi" w:hAnsiTheme="minorHAnsi" w:eastAsiaTheme="minorEastAsia" w:cstheme="minorBidi"/>
                <w:color w:val="FF0000"/>
                <w:kern w:val="2"/>
                <w:sz w:val="21"/>
                <w:szCs w:val="21"/>
              </w:rPr>
              <w:t>（5）本地化办公：在毕节范围内具有的办公场地、办公设备，提供办公场地所有权证或房屋租赁合同，办公场地照片、办公设备照片，提供完成佐证材料及图片资料得3分，不满足不得分。</w:t>
            </w:r>
          </w:p>
          <w:p w14:paraId="6836B06A">
            <w:pPr>
              <w:spacing w:line="440" w:lineRule="exact"/>
              <w:rPr>
                <w:color w:val="000000"/>
                <w:szCs w:val="21"/>
              </w:rPr>
            </w:pPr>
            <w:r>
              <w:rPr>
                <w:rFonts w:hint="eastAsia"/>
                <w:b/>
                <w:bCs/>
                <w:color w:val="000000"/>
                <w:szCs w:val="21"/>
              </w:rPr>
              <w:t>注：提供证书复印件加盖单位公章，不提供或提供不全的不得分。</w:t>
            </w:r>
          </w:p>
        </w:tc>
      </w:tr>
      <w:tr w14:paraId="558CECAC">
        <w:tblPrEx>
          <w:tblCellMar>
            <w:top w:w="0" w:type="dxa"/>
            <w:left w:w="108" w:type="dxa"/>
            <w:bottom w:w="0" w:type="dxa"/>
            <w:right w:w="108" w:type="dxa"/>
          </w:tblCellMar>
        </w:tblPrEx>
        <w:trPr>
          <w:cantSplit/>
          <w:trHeight w:val="3073"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04D8873A">
            <w:pPr>
              <w:autoSpaceDE w:val="0"/>
              <w:spacing w:line="440" w:lineRule="exact"/>
              <w:ind w:firstLine="108"/>
              <w:jc w:val="center"/>
              <w:rPr>
                <w:rFonts w:hint="eastAsia" w:ascii="宋体" w:hAnsi="宋体"/>
                <w:color w:val="000000"/>
                <w:szCs w:val="21"/>
              </w:rPr>
            </w:pPr>
            <w:r>
              <w:rPr>
                <w:rFonts w:hint="eastAsia" w:ascii="宋体" w:hAnsi="宋体" w:cs="宋体"/>
                <w:bCs/>
                <w:color w:val="000000"/>
                <w:szCs w:val="21"/>
              </w:rPr>
              <w:t>4</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C6A445A">
            <w:pPr>
              <w:pStyle w:val="11"/>
              <w:widowControl/>
              <w:autoSpaceDE w:val="0"/>
              <w:snapToGrid w:val="0"/>
              <w:spacing w:line="440" w:lineRule="exact"/>
              <w:jc w:val="center"/>
              <w:rPr>
                <w:rFonts w:hint="eastAsia"/>
                <w:color w:val="000000"/>
                <w:szCs w:val="21"/>
              </w:rPr>
            </w:pPr>
            <w:r>
              <w:rPr>
                <w:rFonts w:hint="eastAsia" w:cs="宋体"/>
                <w:color w:val="000000"/>
                <w:kern w:val="0"/>
                <w:szCs w:val="21"/>
              </w:rPr>
              <w:t>公司管理制度（</w:t>
            </w:r>
            <w:r>
              <w:rPr>
                <w:rFonts w:hint="eastAsia" w:cs="宋体"/>
                <w:color w:val="FF0000"/>
                <w:kern w:val="0"/>
                <w:szCs w:val="21"/>
              </w:rPr>
              <w:t>5分</w:t>
            </w:r>
            <w:r>
              <w:rPr>
                <w:rFonts w:hint="eastAsia" w:cs="宋体"/>
                <w:color w:val="000000"/>
                <w:kern w:val="0"/>
                <w:szCs w:val="21"/>
              </w:rPr>
              <w:t>）</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E6C6E1B">
            <w:pPr>
              <w:widowControl/>
              <w:spacing w:line="440" w:lineRule="exact"/>
              <w:rPr>
                <w:rFonts w:hint="eastAsia" w:ascii="宋体" w:hAnsi="宋体"/>
                <w:color w:val="000000"/>
                <w:szCs w:val="21"/>
              </w:rPr>
            </w:pPr>
            <w:r>
              <w:rPr>
                <w:rFonts w:hint="eastAsia" w:ascii="宋体" w:hAnsi="宋体" w:cs="宋体"/>
                <w:color w:val="000000"/>
                <w:szCs w:val="21"/>
              </w:rPr>
              <w:t>提供公司组织架构、内部有效的管理制度（包括廉洁制度、招标文件内部审核制度、保密制度、财务制度等），本项满分</w:t>
            </w:r>
            <w:r>
              <w:rPr>
                <w:rFonts w:hint="eastAsia" w:ascii="宋体" w:hAnsi="宋体" w:cs="宋体"/>
                <w:color w:val="FF0000"/>
                <w:szCs w:val="21"/>
              </w:rPr>
              <w:t>5</w:t>
            </w:r>
            <w:r>
              <w:rPr>
                <w:rFonts w:hint="eastAsia" w:ascii="宋体" w:hAnsi="宋体" w:cs="宋体"/>
                <w:color w:val="000000"/>
                <w:szCs w:val="21"/>
              </w:rPr>
              <w:t>分。</w:t>
            </w:r>
          </w:p>
          <w:p w14:paraId="7220C388">
            <w:pPr>
              <w:spacing w:line="440" w:lineRule="exact"/>
              <w:rPr>
                <w:rFonts w:hint="eastAsia" w:ascii="宋体" w:hAnsi="宋体"/>
                <w:color w:val="000000"/>
                <w:szCs w:val="21"/>
              </w:rPr>
            </w:pPr>
            <w:r>
              <w:rPr>
                <w:rFonts w:hint="eastAsia" w:ascii="宋体" w:hAnsi="宋体" w:cs="宋体"/>
                <w:color w:val="000000"/>
                <w:szCs w:val="21"/>
              </w:rPr>
              <w:t>注：评审委员会根据遴选申请人提供的管理制度完善性、合理性、先进性进行综合评分</w:t>
            </w:r>
          </w:p>
          <w:p w14:paraId="68BD1620">
            <w:pPr>
              <w:spacing w:line="440" w:lineRule="exact"/>
              <w:rPr>
                <w:rFonts w:hint="eastAsia" w:ascii="宋体" w:hAnsi="宋体"/>
                <w:color w:val="000000"/>
                <w:szCs w:val="21"/>
              </w:rPr>
            </w:pPr>
            <w:r>
              <w:rPr>
                <w:rFonts w:hint="eastAsia" w:ascii="宋体" w:hAnsi="宋体" w:cs="宋体"/>
                <w:color w:val="000000"/>
                <w:szCs w:val="21"/>
              </w:rPr>
              <w:t>（1）优得</w:t>
            </w:r>
            <w:r>
              <w:rPr>
                <w:rFonts w:hint="eastAsia" w:ascii="宋体" w:hAnsi="宋体" w:cs="宋体"/>
                <w:color w:val="FF0000"/>
                <w:szCs w:val="21"/>
              </w:rPr>
              <w:t>4.1～5</w:t>
            </w:r>
            <w:r>
              <w:rPr>
                <w:rFonts w:hint="eastAsia" w:ascii="宋体" w:hAnsi="宋体" w:cs="宋体"/>
                <w:color w:val="000000"/>
                <w:szCs w:val="21"/>
              </w:rPr>
              <w:t>分</w:t>
            </w:r>
          </w:p>
          <w:p w14:paraId="7421FA56">
            <w:pPr>
              <w:spacing w:line="440" w:lineRule="exact"/>
              <w:rPr>
                <w:rFonts w:hint="eastAsia" w:ascii="宋体" w:hAnsi="宋体"/>
                <w:color w:val="000000"/>
                <w:szCs w:val="21"/>
              </w:rPr>
            </w:pPr>
            <w:r>
              <w:rPr>
                <w:rFonts w:hint="eastAsia" w:ascii="宋体" w:hAnsi="宋体" w:cs="宋体"/>
                <w:color w:val="000000"/>
                <w:szCs w:val="21"/>
              </w:rPr>
              <w:t>（2）良得</w:t>
            </w:r>
            <w:r>
              <w:rPr>
                <w:rFonts w:hint="eastAsia" w:ascii="宋体" w:hAnsi="宋体" w:cs="宋体"/>
                <w:color w:val="FF0000"/>
                <w:szCs w:val="21"/>
              </w:rPr>
              <w:t>2.1～4</w:t>
            </w:r>
            <w:r>
              <w:rPr>
                <w:rFonts w:hint="eastAsia" w:ascii="宋体" w:hAnsi="宋体" w:cs="宋体"/>
                <w:color w:val="000000"/>
                <w:szCs w:val="21"/>
              </w:rPr>
              <w:t>分</w:t>
            </w:r>
          </w:p>
          <w:p w14:paraId="6DD5E712">
            <w:pPr>
              <w:spacing w:line="440" w:lineRule="exact"/>
              <w:rPr>
                <w:rFonts w:hint="eastAsia" w:ascii="宋体" w:hAnsi="宋体"/>
                <w:color w:val="000000"/>
                <w:szCs w:val="21"/>
              </w:rPr>
            </w:pPr>
            <w:r>
              <w:rPr>
                <w:rFonts w:hint="eastAsia" w:ascii="宋体" w:hAnsi="宋体" w:cs="宋体"/>
                <w:color w:val="000000"/>
                <w:szCs w:val="21"/>
              </w:rPr>
              <w:t>（3）差得</w:t>
            </w:r>
            <w:r>
              <w:rPr>
                <w:rFonts w:hint="eastAsia" w:ascii="宋体" w:hAnsi="宋体" w:cs="宋体"/>
                <w:color w:val="FF0000"/>
                <w:szCs w:val="21"/>
              </w:rPr>
              <w:t>0.1～2</w:t>
            </w:r>
            <w:r>
              <w:rPr>
                <w:rFonts w:hint="eastAsia" w:ascii="宋体" w:hAnsi="宋体" w:cs="宋体"/>
                <w:color w:val="000000"/>
                <w:szCs w:val="21"/>
              </w:rPr>
              <w:t>分</w:t>
            </w:r>
          </w:p>
          <w:p w14:paraId="08B5237A">
            <w:pPr>
              <w:pStyle w:val="3"/>
              <w:spacing w:line="440" w:lineRule="exact"/>
              <w:rPr>
                <w:rFonts w:hint="eastAsia" w:ascii="宋体" w:hAnsi="宋体" w:eastAsia="宋体"/>
                <w:color w:val="000000"/>
                <w:sz w:val="21"/>
                <w:szCs w:val="21"/>
              </w:rPr>
            </w:pPr>
            <w:r>
              <w:rPr>
                <w:rFonts w:hint="eastAsia" w:ascii="宋体" w:hAnsi="宋体" w:eastAsia="宋体"/>
                <w:color w:val="000000"/>
                <w:sz w:val="21"/>
                <w:szCs w:val="21"/>
              </w:rPr>
              <w:t>（4）未提供的，得0分。</w:t>
            </w:r>
          </w:p>
        </w:tc>
      </w:tr>
      <w:tr w14:paraId="008632F1">
        <w:tblPrEx>
          <w:tblCellMar>
            <w:top w:w="0" w:type="dxa"/>
            <w:left w:w="108" w:type="dxa"/>
            <w:bottom w:w="0" w:type="dxa"/>
            <w:right w:w="108" w:type="dxa"/>
          </w:tblCellMar>
        </w:tblPrEx>
        <w:trPr>
          <w:cantSplit/>
          <w:trHeight w:val="2201"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4A5F500C">
            <w:pPr>
              <w:autoSpaceDE w:val="0"/>
              <w:spacing w:line="440" w:lineRule="exact"/>
              <w:ind w:firstLine="108"/>
              <w:jc w:val="center"/>
              <w:rPr>
                <w:rFonts w:hint="eastAsia" w:ascii="宋体" w:hAnsi="宋体"/>
                <w:color w:val="000000"/>
                <w:szCs w:val="21"/>
              </w:rPr>
            </w:pPr>
            <w:r>
              <w:rPr>
                <w:rFonts w:hint="eastAsia" w:ascii="宋体" w:hAnsi="宋体" w:cs="宋体"/>
                <w:bCs/>
                <w:color w:val="000000"/>
                <w:szCs w:val="21"/>
              </w:rPr>
              <w:t>5</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1BACAD2B">
            <w:pPr>
              <w:pStyle w:val="11"/>
              <w:widowControl/>
              <w:autoSpaceDE w:val="0"/>
              <w:snapToGrid w:val="0"/>
              <w:spacing w:line="440" w:lineRule="exact"/>
              <w:jc w:val="center"/>
              <w:rPr>
                <w:rFonts w:hint="eastAsia"/>
                <w:color w:val="000000"/>
                <w:szCs w:val="21"/>
              </w:rPr>
            </w:pPr>
            <w:r>
              <w:rPr>
                <w:rFonts w:hint="eastAsia" w:cs="宋体"/>
                <w:color w:val="000000"/>
                <w:kern w:val="0"/>
                <w:szCs w:val="21"/>
              </w:rPr>
              <w:t>服务承诺评价分（</w:t>
            </w:r>
            <w:r>
              <w:rPr>
                <w:rFonts w:hint="eastAsia" w:cs="宋体"/>
                <w:color w:val="FF0000"/>
                <w:kern w:val="0"/>
                <w:szCs w:val="21"/>
              </w:rPr>
              <w:t>7分</w:t>
            </w:r>
            <w:r>
              <w:rPr>
                <w:rFonts w:hint="eastAsia" w:cs="宋体"/>
                <w:color w:val="000000"/>
                <w:kern w:val="0"/>
                <w:szCs w:val="21"/>
              </w:rPr>
              <w:t>）</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009154A4">
            <w:pPr>
              <w:spacing w:line="440" w:lineRule="exact"/>
              <w:rPr>
                <w:rFonts w:hint="eastAsia" w:ascii="宋体" w:hAnsi="宋体"/>
                <w:color w:val="000000"/>
                <w:szCs w:val="21"/>
              </w:rPr>
            </w:pPr>
            <w:r>
              <w:rPr>
                <w:rFonts w:hint="eastAsia" w:ascii="宋体" w:hAnsi="宋体" w:cs="宋体"/>
                <w:color w:val="000000"/>
                <w:szCs w:val="21"/>
              </w:rPr>
              <w:t>针对相关法律法规、省内相关规定，根据本项目情况结合遴选单位实际情况编制服务承诺：</w:t>
            </w:r>
          </w:p>
          <w:p w14:paraId="29F188F9">
            <w:pPr>
              <w:spacing w:line="440" w:lineRule="exact"/>
              <w:rPr>
                <w:rFonts w:hint="eastAsia" w:ascii="宋体" w:hAnsi="宋体"/>
                <w:color w:val="000000"/>
                <w:szCs w:val="21"/>
              </w:rPr>
            </w:pPr>
            <w:r>
              <w:rPr>
                <w:rFonts w:hint="eastAsia" w:ascii="宋体" w:hAnsi="宋体" w:cs="宋体"/>
                <w:color w:val="000000"/>
                <w:szCs w:val="21"/>
              </w:rPr>
              <w:t>（1）服务承诺科学、完整、全面，得</w:t>
            </w:r>
            <w:r>
              <w:rPr>
                <w:rFonts w:hint="eastAsia" w:ascii="宋体" w:hAnsi="宋体" w:cs="宋体"/>
                <w:color w:val="FF0000"/>
                <w:szCs w:val="21"/>
              </w:rPr>
              <w:t>5.1～7</w:t>
            </w:r>
            <w:r>
              <w:rPr>
                <w:rFonts w:hint="eastAsia" w:ascii="宋体" w:hAnsi="宋体" w:cs="宋体"/>
                <w:color w:val="000000"/>
                <w:szCs w:val="21"/>
              </w:rPr>
              <w:t>分；</w:t>
            </w:r>
          </w:p>
          <w:p w14:paraId="7BC024C2">
            <w:pPr>
              <w:spacing w:line="440" w:lineRule="exact"/>
              <w:rPr>
                <w:rFonts w:hint="eastAsia" w:ascii="宋体" w:hAnsi="宋体"/>
                <w:color w:val="000000"/>
                <w:szCs w:val="21"/>
              </w:rPr>
            </w:pPr>
            <w:r>
              <w:rPr>
                <w:rFonts w:hint="eastAsia" w:ascii="宋体" w:hAnsi="宋体" w:cs="宋体"/>
                <w:color w:val="000000"/>
                <w:szCs w:val="21"/>
              </w:rPr>
              <w:t>（2）服务承诺较为科学、基本完整、较为全面，得</w:t>
            </w:r>
            <w:r>
              <w:rPr>
                <w:rFonts w:hint="eastAsia" w:ascii="宋体" w:hAnsi="宋体" w:cs="宋体"/>
                <w:color w:val="FF0000"/>
                <w:szCs w:val="21"/>
              </w:rPr>
              <w:t>2.1～5</w:t>
            </w:r>
            <w:r>
              <w:rPr>
                <w:rFonts w:hint="eastAsia" w:ascii="宋体" w:hAnsi="宋体" w:cs="宋体"/>
                <w:color w:val="000000"/>
                <w:szCs w:val="21"/>
              </w:rPr>
              <w:t>分；</w:t>
            </w:r>
          </w:p>
          <w:p w14:paraId="3AAEFFF7">
            <w:pPr>
              <w:spacing w:line="440" w:lineRule="exact"/>
              <w:rPr>
                <w:rFonts w:hint="eastAsia" w:ascii="宋体" w:hAnsi="宋体"/>
                <w:color w:val="000000"/>
                <w:szCs w:val="21"/>
              </w:rPr>
            </w:pPr>
            <w:r>
              <w:rPr>
                <w:rFonts w:hint="eastAsia" w:ascii="宋体" w:hAnsi="宋体" w:cs="宋体"/>
                <w:color w:val="000000"/>
                <w:szCs w:val="21"/>
              </w:rPr>
              <w:t>（3）服务承诺不科学、有缺失、不完善，得</w:t>
            </w:r>
            <w:r>
              <w:rPr>
                <w:rFonts w:hint="eastAsia" w:ascii="宋体" w:hAnsi="宋体" w:cs="宋体"/>
                <w:color w:val="FF0000"/>
                <w:szCs w:val="21"/>
              </w:rPr>
              <w:t>0.1～2</w:t>
            </w:r>
            <w:r>
              <w:rPr>
                <w:rFonts w:hint="eastAsia" w:ascii="宋体" w:hAnsi="宋体" w:cs="宋体"/>
                <w:color w:val="000000"/>
                <w:szCs w:val="21"/>
              </w:rPr>
              <w:t>分；</w:t>
            </w:r>
          </w:p>
          <w:p w14:paraId="6588EB61">
            <w:pPr>
              <w:spacing w:line="440" w:lineRule="exact"/>
              <w:rPr>
                <w:rFonts w:hint="eastAsia" w:ascii="宋体" w:hAnsi="宋体"/>
                <w:color w:val="000000"/>
                <w:szCs w:val="21"/>
              </w:rPr>
            </w:pPr>
            <w:r>
              <w:rPr>
                <w:rFonts w:hint="eastAsia" w:ascii="宋体" w:hAnsi="宋体" w:cs="宋体"/>
                <w:color w:val="000000"/>
                <w:szCs w:val="21"/>
              </w:rPr>
              <w:t>（4）未提供服务承诺，得0分。</w:t>
            </w:r>
          </w:p>
        </w:tc>
      </w:tr>
      <w:tr w14:paraId="0CEE4806">
        <w:tblPrEx>
          <w:tblCellMar>
            <w:top w:w="0" w:type="dxa"/>
            <w:left w:w="108" w:type="dxa"/>
            <w:bottom w:w="0" w:type="dxa"/>
            <w:right w:w="108" w:type="dxa"/>
          </w:tblCellMar>
        </w:tblPrEx>
        <w:trPr>
          <w:cantSplit/>
          <w:trHeight w:val="2211" w:hRule="atLeast"/>
          <w:jc w:val="center"/>
        </w:trPr>
        <w:tc>
          <w:tcPr>
            <w:tcW w:w="646" w:type="dxa"/>
            <w:tcBorders>
              <w:top w:val="double" w:color="000000" w:sz="6" w:space="0"/>
              <w:left w:val="double" w:color="000000" w:sz="6" w:space="0"/>
              <w:bottom w:val="double" w:color="000000" w:sz="6" w:space="0"/>
              <w:right w:val="double" w:color="000000" w:sz="6" w:space="0"/>
            </w:tcBorders>
            <w:shd w:val="clear" w:color="auto" w:fill="auto"/>
            <w:vAlign w:val="center"/>
          </w:tcPr>
          <w:p w14:paraId="61958B24">
            <w:pPr>
              <w:autoSpaceDE w:val="0"/>
              <w:spacing w:line="440" w:lineRule="exact"/>
              <w:ind w:firstLine="108"/>
              <w:jc w:val="center"/>
              <w:rPr>
                <w:rFonts w:hint="eastAsia" w:ascii="宋体" w:hAnsi="宋体"/>
                <w:color w:val="000000"/>
                <w:szCs w:val="21"/>
              </w:rPr>
            </w:pPr>
            <w:r>
              <w:rPr>
                <w:rFonts w:hint="eastAsia" w:ascii="宋体" w:hAnsi="宋体" w:cs="宋体"/>
                <w:bCs/>
                <w:color w:val="000000"/>
                <w:szCs w:val="21"/>
              </w:rPr>
              <w:t>6</w:t>
            </w:r>
          </w:p>
        </w:tc>
        <w:tc>
          <w:tcPr>
            <w:tcW w:w="1502"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012DF54E">
            <w:pPr>
              <w:pStyle w:val="11"/>
              <w:widowControl/>
              <w:autoSpaceDE w:val="0"/>
              <w:snapToGrid w:val="0"/>
              <w:spacing w:line="440" w:lineRule="exact"/>
              <w:jc w:val="center"/>
              <w:rPr>
                <w:rFonts w:hint="eastAsia"/>
                <w:color w:val="000000"/>
                <w:szCs w:val="21"/>
              </w:rPr>
            </w:pPr>
            <w:r>
              <w:rPr>
                <w:rFonts w:hint="eastAsia" w:cs="宋体"/>
                <w:color w:val="000000"/>
                <w:kern w:val="0"/>
                <w:szCs w:val="21"/>
              </w:rPr>
              <w:t>招标采购代理方案（</w:t>
            </w:r>
            <w:r>
              <w:rPr>
                <w:rFonts w:hint="eastAsia" w:cs="宋体"/>
                <w:color w:val="FF0000"/>
                <w:kern w:val="0"/>
                <w:szCs w:val="21"/>
              </w:rPr>
              <w:t>10分</w:t>
            </w:r>
            <w:r>
              <w:rPr>
                <w:rFonts w:hint="eastAsia" w:cs="宋体"/>
                <w:color w:val="000000"/>
                <w:kern w:val="0"/>
                <w:szCs w:val="21"/>
              </w:rPr>
              <w:t>）</w:t>
            </w:r>
          </w:p>
        </w:tc>
        <w:tc>
          <w:tcPr>
            <w:tcW w:w="7136" w:type="dxa"/>
            <w:tcBorders>
              <w:top w:val="double" w:color="000000" w:sz="6" w:space="0"/>
              <w:left w:val="double" w:color="000000" w:sz="6" w:space="0"/>
              <w:bottom w:val="double" w:color="000000" w:sz="6" w:space="0"/>
              <w:right w:val="double" w:color="000000" w:sz="6" w:space="0"/>
            </w:tcBorders>
            <w:shd w:val="clear" w:color="auto" w:fill="FFFFFF"/>
            <w:vAlign w:val="center"/>
          </w:tcPr>
          <w:p w14:paraId="28139EEF">
            <w:pPr>
              <w:pStyle w:val="11"/>
              <w:widowControl/>
              <w:autoSpaceDE w:val="0"/>
              <w:snapToGrid w:val="0"/>
              <w:spacing w:line="440" w:lineRule="exact"/>
              <w:rPr>
                <w:rFonts w:hint="eastAsia"/>
                <w:color w:val="000000"/>
                <w:szCs w:val="21"/>
              </w:rPr>
            </w:pPr>
            <w:r>
              <w:rPr>
                <w:rFonts w:hint="eastAsia" w:cs="宋体"/>
                <w:b/>
                <w:bCs/>
                <w:color w:val="000000"/>
                <w:kern w:val="0"/>
                <w:szCs w:val="21"/>
              </w:rPr>
              <w:t>招标采购代理方案包括但不限于：项目流程及时间计划，如何有效避免异议（质疑）、投诉方案等。满分</w:t>
            </w:r>
            <w:r>
              <w:rPr>
                <w:rFonts w:hint="eastAsia" w:cs="宋体"/>
                <w:b/>
                <w:bCs/>
                <w:color w:val="FF0000"/>
                <w:kern w:val="0"/>
                <w:szCs w:val="21"/>
              </w:rPr>
              <w:t>10</w:t>
            </w:r>
            <w:r>
              <w:rPr>
                <w:rFonts w:hint="eastAsia" w:cs="宋体"/>
                <w:b/>
                <w:bCs/>
                <w:color w:val="000000"/>
                <w:kern w:val="0"/>
                <w:szCs w:val="21"/>
              </w:rPr>
              <w:t>分</w:t>
            </w:r>
          </w:p>
          <w:p w14:paraId="37DDAA37">
            <w:pPr>
              <w:spacing w:line="440" w:lineRule="exact"/>
              <w:rPr>
                <w:rFonts w:hint="eastAsia" w:ascii="宋体" w:hAnsi="宋体"/>
                <w:color w:val="000000"/>
                <w:szCs w:val="21"/>
              </w:rPr>
            </w:pPr>
            <w:r>
              <w:rPr>
                <w:rFonts w:hint="eastAsia" w:ascii="宋体" w:hAnsi="宋体" w:cs="宋体"/>
                <w:color w:val="000000"/>
                <w:szCs w:val="21"/>
              </w:rPr>
              <w:t>（1）全面、详细、内容具体，可行性高，得</w:t>
            </w:r>
            <w:r>
              <w:rPr>
                <w:rFonts w:hint="eastAsia" w:ascii="宋体" w:hAnsi="宋体" w:cs="宋体"/>
                <w:color w:val="FF0000"/>
                <w:szCs w:val="21"/>
              </w:rPr>
              <w:t>7.1～10</w:t>
            </w:r>
            <w:r>
              <w:rPr>
                <w:rFonts w:hint="eastAsia" w:ascii="宋体" w:hAnsi="宋体" w:cs="宋体"/>
                <w:color w:val="000000"/>
                <w:szCs w:val="21"/>
              </w:rPr>
              <w:t>分；</w:t>
            </w:r>
          </w:p>
          <w:p w14:paraId="287B9DAF">
            <w:pPr>
              <w:spacing w:line="440" w:lineRule="exact"/>
              <w:rPr>
                <w:rFonts w:hint="eastAsia" w:ascii="宋体" w:hAnsi="宋体"/>
                <w:color w:val="000000"/>
                <w:szCs w:val="21"/>
              </w:rPr>
            </w:pPr>
            <w:r>
              <w:rPr>
                <w:rFonts w:hint="eastAsia" w:ascii="宋体" w:hAnsi="宋体" w:cs="宋体"/>
                <w:color w:val="000000"/>
                <w:szCs w:val="21"/>
              </w:rPr>
              <w:t>（2）较好、项目流程细则可行，但内容简单不够全面，得</w:t>
            </w:r>
            <w:r>
              <w:rPr>
                <w:rFonts w:hint="eastAsia" w:ascii="宋体" w:hAnsi="宋体" w:cs="宋体"/>
                <w:color w:val="FF0000"/>
                <w:szCs w:val="21"/>
              </w:rPr>
              <w:t>3.1～7</w:t>
            </w:r>
            <w:r>
              <w:rPr>
                <w:rFonts w:hint="eastAsia" w:ascii="宋体" w:hAnsi="宋体" w:cs="宋体"/>
                <w:color w:val="000000"/>
                <w:szCs w:val="21"/>
              </w:rPr>
              <w:t>分；</w:t>
            </w:r>
          </w:p>
          <w:p w14:paraId="762E5CE2">
            <w:pPr>
              <w:spacing w:line="440" w:lineRule="exact"/>
              <w:rPr>
                <w:rFonts w:hint="eastAsia" w:ascii="宋体" w:hAnsi="宋体"/>
                <w:color w:val="000000"/>
                <w:szCs w:val="21"/>
              </w:rPr>
            </w:pPr>
            <w:r>
              <w:rPr>
                <w:rFonts w:hint="eastAsia" w:ascii="宋体" w:hAnsi="宋体" w:cs="宋体"/>
                <w:color w:val="000000"/>
                <w:szCs w:val="21"/>
              </w:rPr>
              <w:t>（3）不够详细、合理性欠缺，得</w:t>
            </w:r>
            <w:r>
              <w:rPr>
                <w:rFonts w:hint="eastAsia" w:ascii="宋体" w:hAnsi="宋体" w:cs="宋体"/>
                <w:color w:val="FF0000"/>
                <w:szCs w:val="21"/>
              </w:rPr>
              <w:t>0.1～3</w:t>
            </w:r>
            <w:r>
              <w:rPr>
                <w:rFonts w:hint="eastAsia" w:ascii="宋体" w:hAnsi="宋体" w:cs="宋体"/>
                <w:color w:val="000000"/>
                <w:szCs w:val="21"/>
              </w:rPr>
              <w:t>分；</w:t>
            </w:r>
          </w:p>
          <w:p w14:paraId="33B471B6">
            <w:pPr>
              <w:spacing w:line="440" w:lineRule="exact"/>
              <w:rPr>
                <w:rFonts w:hint="eastAsia" w:ascii="宋体" w:hAnsi="宋体"/>
                <w:color w:val="000000"/>
                <w:szCs w:val="21"/>
              </w:rPr>
            </w:pPr>
            <w:r>
              <w:rPr>
                <w:rFonts w:hint="eastAsia" w:ascii="宋体" w:hAnsi="宋体" w:cs="宋体"/>
                <w:color w:val="000000"/>
                <w:szCs w:val="21"/>
              </w:rPr>
              <w:t>（4）未提供招标代理方案或未阐述得0分。</w:t>
            </w:r>
          </w:p>
        </w:tc>
      </w:tr>
    </w:tbl>
    <w:p w14:paraId="109520EF">
      <w:pPr>
        <w:spacing w:line="579" w:lineRule="exact"/>
        <w:ind w:firstLine="320" w:firstLineChars="100"/>
        <w:rPr>
          <w:rFonts w:hint="eastAsia" w:ascii="仿宋" w:hAnsi="仿宋" w:eastAsia="仿宋"/>
          <w:sz w:val="32"/>
          <w:szCs w:val="32"/>
        </w:rPr>
      </w:pPr>
    </w:p>
    <w:p w14:paraId="3F8FFFBA">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1DF74"/>
    <w:multiLevelType w:val="singleLevel"/>
    <w:tmpl w:val="1EC1DF7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C0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cs="Times New Roman"/>
      <w:kern w:val="0"/>
      <w:sz w:val="28"/>
      <w:szCs w:val="20"/>
    </w:rPr>
  </w:style>
  <w:style w:type="paragraph" w:styleId="3">
    <w:name w:val="Body Text"/>
    <w:basedOn w:val="1"/>
    <w:next w:val="4"/>
    <w:qFormat/>
    <w:uiPriority w:val="0"/>
    <w:pPr>
      <w:autoSpaceDE w:val="0"/>
      <w:autoSpaceDN w:val="0"/>
      <w:adjustRightInd w:val="0"/>
      <w:textAlignment w:val="baseline"/>
    </w:pPr>
    <w:rPr>
      <w:rFonts w:ascii="仿宋_GB2312" w:eastAsia="仿宋_GB2312"/>
      <w:kern w:val="0"/>
      <w:sz w:val="24"/>
      <w:szCs w:val="20"/>
    </w:rPr>
  </w:style>
  <w:style w:type="paragraph" w:customStyle="1" w:styleId="4">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5">
    <w:name w:val="Body Text Indent"/>
    <w:basedOn w:val="1"/>
    <w:qFormat/>
    <w:uiPriority w:val="0"/>
    <w:pPr>
      <w:spacing w:line="380" w:lineRule="exact"/>
      <w:ind w:firstLine="480"/>
    </w:pPr>
    <w:rPr>
      <w:rFonts w:eastAsia="方正书宋简体"/>
      <w:kern w:val="0"/>
      <w:sz w:val="20"/>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5"/>
    <w:qFormat/>
    <w:uiPriority w:val="99"/>
    <w:pPr>
      <w:spacing w:after="120" w:line="240" w:lineRule="auto"/>
      <w:ind w:left="420" w:leftChars="200" w:firstLine="200" w:firstLineChars="200"/>
    </w:pPr>
    <w:rPr>
      <w:kern w:val="2"/>
      <w:sz w:val="21"/>
      <w:szCs w:val="24"/>
    </w:rPr>
  </w:style>
  <w:style w:type="paragraph" w:styleId="10">
    <w:name w:val="List Paragraph"/>
    <w:basedOn w:val="1"/>
    <w:qFormat/>
    <w:uiPriority w:val="0"/>
    <w:pPr>
      <w:ind w:left="938" w:hanging="602"/>
    </w:pPr>
    <w:rPr>
      <w:rFonts w:ascii="宋体" w:hAnsi="宋体" w:cs="宋体"/>
      <w:lang w:val="zh-CN" w:bidi="zh-CN"/>
    </w:rPr>
  </w:style>
  <w:style w:type="paragraph" w:customStyle="1" w:styleId="11">
    <w:name w:val="列出段落31"/>
    <w:basedOn w:val="1"/>
    <w:qFormat/>
    <w:uiPriority w:val="0"/>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2025-04-14T03:33:18Z</dcterms:created>
  <dc:creator>Administrator</dc:creator>
  <cp:lastModifiedBy>WPS_1528086241</cp:lastModifiedBy>
  <dcterms:modified xsi:type="dcterms:W3CDTF">2025-04-14T03:33:38Z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eyJoZGlkIjoiYWZjYTkwNmQxMDE2NDA0ZWY4YzdiYzg3ZTEzZTgzODMiLCJ1c2VySWQiOiIzNzU4ODY5MTQifQ==</vt:lpwstr>
  </property>
  <property fmtid="{D5CDD505-2E9C-101B-9397-08002B2CF9AE}" pid="4" name="ICV">
    <vt:lpwstr>9DDF3FCA22424C70B5B61572DB56E4BB_12</vt:lpwstr>
  </property>
</Properties>
</file>