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outlineLvl w:val="0"/>
        <w:rPr>
          <w:rStyle w:val="14"/>
          <w:rFonts w:hint="eastAsia" w:asciiTheme="minorEastAsia" w:hAnsiTheme="minorEastAsia"/>
          <w:color w:val="000000" w:themeColor="text1"/>
          <w:sz w:val="32"/>
          <w:szCs w:val="32"/>
          <w:shd w:val="clear" w:color="auto" w:fill="FFFFFF"/>
          <w14:textFill>
            <w14:solidFill>
              <w14:schemeClr w14:val="tx1"/>
            </w14:solidFill>
          </w14:textFill>
        </w:rPr>
      </w:pPr>
      <w:bookmarkStart w:id="0" w:name="_Toc477032411"/>
      <w:bookmarkStart w:id="1" w:name="_Toc7907"/>
      <w:r>
        <w:rPr>
          <w:rFonts w:hint="eastAsia" w:asciiTheme="minorEastAsia" w:hAnsiTheme="minorEastAsia"/>
          <w:b/>
          <w:bCs/>
          <w:color w:val="000000" w:themeColor="text1"/>
          <w:sz w:val="32"/>
          <w:szCs w:val="32"/>
          <w:shd w:val="clear" w:color="auto" w:fill="FFFFFF"/>
          <w:lang w:eastAsia="zh-CN"/>
          <w14:textFill>
            <w14:solidFill>
              <w14:schemeClr w14:val="tx1"/>
            </w14:solidFill>
          </w14:textFill>
        </w:rPr>
        <w:t>《计算机网络》精品课程</w:t>
      </w:r>
      <w:r>
        <w:rPr>
          <w:rFonts w:hint="eastAsia" w:asciiTheme="minorEastAsia" w:hAnsiTheme="minorEastAsia"/>
          <w:b/>
          <w:bCs/>
          <w:color w:val="000000" w:themeColor="text1"/>
          <w:sz w:val="32"/>
          <w:szCs w:val="32"/>
          <w:shd w:val="clear" w:color="auto" w:fill="FFFFFF"/>
          <w:lang w:val="en-US" w:eastAsia="zh-CN"/>
          <w14:textFill>
            <w14:solidFill>
              <w14:schemeClr w14:val="tx1"/>
            </w14:solidFill>
          </w14:textFill>
        </w:rPr>
        <w:t>及教材出版</w:t>
      </w:r>
      <w:r>
        <w:rPr>
          <w:rFonts w:hint="eastAsia" w:asciiTheme="minorEastAsia" w:hAnsiTheme="minorEastAsia"/>
          <w:b/>
          <w:bCs/>
          <w:color w:val="000000" w:themeColor="text1"/>
          <w:sz w:val="32"/>
          <w:szCs w:val="32"/>
          <w:shd w:val="clear" w:color="auto" w:fill="FFFFFF"/>
          <w14:textFill>
            <w14:solidFill>
              <w14:schemeClr w14:val="tx1"/>
            </w14:solidFill>
          </w14:textFill>
        </w:rPr>
        <w:t>建设项目</w:t>
      </w:r>
      <w:bookmarkEnd w:id="0"/>
      <w:bookmarkEnd w:id="1"/>
      <w:r>
        <w:rPr>
          <w:rFonts w:hint="eastAsia" w:asciiTheme="minorEastAsia" w:hAnsiTheme="minorEastAsia"/>
          <w:b/>
          <w:bCs/>
          <w:color w:val="000000" w:themeColor="text1"/>
          <w:sz w:val="32"/>
          <w:szCs w:val="32"/>
          <w:shd w:val="clear" w:color="auto" w:fill="FFFFFF"/>
          <w14:textFill>
            <w14:solidFill>
              <w14:schemeClr w14:val="tx1"/>
            </w14:solidFill>
          </w14:textFill>
        </w:rPr>
        <w:t>规格与要求</w:t>
      </w:r>
      <w:bookmarkStart w:id="2" w:name="_Toc7488"/>
      <w:bookmarkEnd w:id="2"/>
    </w:p>
    <w:tbl>
      <w:tblPr>
        <w:tblStyle w:val="12"/>
        <w:tblpPr w:leftFromText="180" w:rightFromText="180" w:vertAnchor="text" w:tblpX="10214" w:tblpY="-8391"/>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bCs/>
                <w:sz w:val="28"/>
                <w:szCs w:val="28"/>
              </w:rPr>
            </w:pPr>
            <w:bookmarkStart w:id="3" w:name="_Hlk11141390"/>
          </w:p>
        </w:tc>
      </w:tr>
      <w:bookmarkEnd w:id="3"/>
    </w:tbl>
    <w:p>
      <w:pPr>
        <w:keepNext w:val="0"/>
        <w:keepLines w:val="0"/>
        <w:pageBreakBefore w:val="0"/>
        <w:kinsoku/>
        <w:wordWrap/>
        <w:overflowPunct/>
        <w:topLinePunct w:val="0"/>
        <w:autoSpaceDE/>
        <w:autoSpaceDN/>
        <w:bidi w:val="0"/>
        <w:adjustRightInd/>
        <w:snapToGrid/>
        <w:spacing w:line="240" w:lineRule="auto"/>
        <w:textAlignment w:val="auto"/>
        <w:outlineLvl w:val="0"/>
        <w:rPr>
          <w:b/>
          <w:bCs/>
          <w:sz w:val="24"/>
        </w:rPr>
      </w:pPr>
      <w:r>
        <w:rPr>
          <w:rFonts w:hint="eastAsia"/>
          <w:b/>
          <w:bCs/>
          <w:sz w:val="24"/>
        </w:rPr>
        <w:t>一、建设要求</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eastAsia="宋体"/>
        </w:rPr>
      </w:pPr>
      <w:r>
        <w:rPr>
          <w:rFonts w:hint="eastAsia"/>
          <w:b/>
          <w:bCs/>
        </w:rPr>
        <w:t>精品在线课程资源建设：</w:t>
      </w:r>
    </w:p>
    <w:p>
      <w:pPr>
        <w:pStyle w:val="17"/>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00"/>
          <w:lang w:val="zh-CN"/>
        </w:rPr>
      </w:pPr>
      <w:r>
        <w:rPr>
          <w:rFonts w:hint="eastAsia" w:ascii="宋体" w:hAnsi="宋体" w:cs="宋体"/>
          <w:color w:val="000000"/>
          <w:lang w:val="zh-CN"/>
        </w:rPr>
        <w:t>为加快推进适合我国国情的在线课程建设，整合优质教育资源和技术资源，实现课程和平台的多种形式应用与共享，促进教育教学改革和教育制度创新，提高教育教学质量，通过线上线下混合式教学的模式，推动以学生为中心的教育学方式方法变革。经过多年发展，在人才培养模式、师资、实训基地建设、校企合作等方面已具备了省内领先水平，为更好展现</w:t>
      </w:r>
      <w:r>
        <w:rPr>
          <w:rFonts w:hint="eastAsia" w:ascii="宋体" w:hAnsi="宋体" w:cs="宋体"/>
          <w:color w:val="000000"/>
          <w:lang w:eastAsia="zh-Hans"/>
        </w:rPr>
        <w:t>我校</w:t>
      </w:r>
      <w:r>
        <w:rPr>
          <w:rFonts w:hint="eastAsia" w:ascii="宋体" w:hAnsi="宋体" w:cs="宋体"/>
          <w:color w:val="000000"/>
          <w:lang w:val="zh-CN"/>
        </w:rPr>
        <w:t>的教学水平，提高专业教学资源的利用率，做到基本资源满足理论教学、实践教学需要，包括课程概要、理论教学资源和实践教学资源的建设思路。考虑教学实施与企业对接的需求，以各学习单元教案与企业真实案例为核心，形成与学习单元与企业需求相配套的教学资源</w:t>
      </w:r>
      <w:r>
        <w:rPr>
          <w:rFonts w:ascii="宋体" w:hAnsi="宋体" w:cs="宋体"/>
          <w:color w:val="000000"/>
        </w:rPr>
        <w:t>。</w:t>
      </w:r>
    </w:p>
    <w:p>
      <w:pPr>
        <w:pStyle w:val="17"/>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00"/>
          <w:lang w:val="zh-CN"/>
        </w:rPr>
      </w:pPr>
      <w:r>
        <w:rPr>
          <w:rFonts w:ascii="宋体" w:hAnsi="宋体" w:cs="宋体"/>
          <w:color w:val="000000"/>
        </w:rPr>
        <w:t>1、</w:t>
      </w:r>
      <w:r>
        <w:rPr>
          <w:rFonts w:hint="eastAsia" w:ascii="宋体" w:hAnsi="宋体" w:cs="宋体"/>
          <w:color w:val="000000"/>
          <w:lang w:val="zh-CN"/>
        </w:rPr>
        <w:t>课程标准：课程标准是课程的性质、目标、内容、实施建议的教学指导性文件，开发企业元素融入的课程标准，为课程建设和教学实施提供基本框架方案。</w:t>
      </w:r>
    </w:p>
    <w:p>
      <w:pPr>
        <w:pStyle w:val="17"/>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00"/>
          <w:lang w:val="zh-CN"/>
        </w:rPr>
      </w:pPr>
      <w:r>
        <w:rPr>
          <w:rFonts w:ascii="宋体" w:hAnsi="宋体" w:cs="宋体"/>
          <w:color w:val="000000"/>
        </w:rPr>
        <w:t>2、</w:t>
      </w:r>
      <w:r>
        <w:rPr>
          <w:rFonts w:hint="eastAsia" w:ascii="宋体" w:hAnsi="宋体" w:cs="宋体"/>
          <w:color w:val="000000"/>
          <w:lang w:val="zh-CN"/>
        </w:rPr>
        <w:t>教学设计：根据教学对象和教学目标，确定合适的教学起点与终点，将教学诸要素有序、优化地安排，形成教学方案的过程。</w:t>
      </w:r>
    </w:p>
    <w:p>
      <w:pPr>
        <w:pStyle w:val="17"/>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00"/>
          <w:lang w:val="zh-CN"/>
        </w:rPr>
      </w:pPr>
      <w:r>
        <w:rPr>
          <w:rFonts w:ascii="宋体" w:hAnsi="宋体" w:cs="宋体"/>
          <w:color w:val="000000"/>
        </w:rPr>
        <w:t>3、</w:t>
      </w:r>
      <w:r>
        <w:rPr>
          <w:rFonts w:hint="eastAsia" w:ascii="宋体" w:hAnsi="宋体" w:cs="宋体"/>
          <w:color w:val="000000"/>
          <w:lang w:val="zh-CN"/>
        </w:rPr>
        <w:t>教学课件：以学习单元为单位开发配套的教学课件，为学习者服务，帮助学习者更好的融入课堂，理解知识，更好的完成学习任务。</w:t>
      </w:r>
    </w:p>
    <w:p>
      <w:pPr>
        <w:pStyle w:val="17"/>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00"/>
          <w:lang w:val="zh-CN"/>
        </w:rPr>
      </w:pPr>
      <w:r>
        <w:rPr>
          <w:rFonts w:ascii="宋体" w:hAnsi="宋体" w:cs="宋体"/>
          <w:color w:val="000000"/>
        </w:rPr>
        <w:t>4、</w:t>
      </w:r>
      <w:r>
        <w:rPr>
          <w:rFonts w:hint="eastAsia" w:ascii="宋体" w:hAnsi="宋体" w:cs="宋体"/>
          <w:color w:val="000000"/>
          <w:lang w:val="zh-CN"/>
        </w:rPr>
        <w:t>微课视频：结合课程标准、课程设计、教学课件等内容，融入教师出镜</w:t>
      </w:r>
      <w:bookmarkStart w:id="17" w:name="_GoBack"/>
      <w:bookmarkEnd w:id="17"/>
      <w:r>
        <w:rPr>
          <w:rFonts w:hint="eastAsia" w:ascii="宋体" w:hAnsi="宋体" w:cs="宋体"/>
          <w:color w:val="000000"/>
          <w:lang w:val="zh-CN"/>
        </w:rPr>
        <w:t>、二维/三维动画、虚拟仿真等内容，拍摄制作精品微课。</w:t>
      </w:r>
    </w:p>
    <w:p>
      <w:pPr>
        <w:pStyle w:val="17"/>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00"/>
          <w:lang w:val="zh-CN"/>
        </w:rPr>
      </w:pPr>
      <w:r>
        <w:rPr>
          <w:rFonts w:ascii="宋体" w:hAnsi="宋体" w:cs="宋体"/>
          <w:color w:val="000000"/>
        </w:rPr>
        <w:t>5、</w:t>
      </w:r>
      <w:r>
        <w:rPr>
          <w:rFonts w:hint="eastAsia" w:ascii="宋体" w:hAnsi="宋体" w:cs="宋体"/>
          <w:color w:val="000000"/>
          <w:lang w:val="zh-CN"/>
        </w:rPr>
        <w:t>教学录像：以学习单元为单位开发配套的教学录像，帮助学习者更好的理解专业知识，有效的完成学习任务。</w:t>
      </w:r>
    </w:p>
    <w:p>
      <w:pPr>
        <w:pStyle w:val="17"/>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00"/>
          <w:szCs w:val="21"/>
        </w:rPr>
      </w:pPr>
      <w:r>
        <w:rPr>
          <w:rFonts w:ascii="宋体" w:hAnsi="宋体" w:cs="宋体"/>
          <w:color w:val="000000"/>
        </w:rPr>
        <w:t>6、</w:t>
      </w:r>
      <w:r>
        <w:rPr>
          <w:rFonts w:hint="eastAsia" w:ascii="宋体" w:hAnsi="宋体" w:cs="宋体"/>
          <w:color w:val="000000"/>
          <w:lang w:val="zh-CN"/>
        </w:rPr>
        <w:t>测试习题：以学习单元为单位开发配套的测试习题，帮助学习者完成单元学习后进行学习测试和评价。</w:t>
      </w:r>
    </w:p>
    <w:p>
      <w:pPr>
        <w:pStyle w:val="17"/>
        <w:keepNext w:val="0"/>
        <w:keepLines w:val="0"/>
        <w:pageBreakBefore w:val="0"/>
        <w:kinsoku/>
        <w:wordWrap/>
        <w:overflowPunct/>
        <w:topLinePunct w:val="0"/>
        <w:autoSpaceDE/>
        <w:autoSpaceDN/>
        <w:bidi w:val="0"/>
        <w:adjustRightInd/>
        <w:snapToGrid/>
        <w:spacing w:line="240" w:lineRule="auto"/>
        <w:ind w:firstLine="422"/>
        <w:textAlignment w:val="auto"/>
        <w:rPr>
          <w:rFonts w:hint="eastAsia" w:ascii="宋体" w:hAnsi="宋体" w:cs="宋体"/>
          <w:b/>
          <w:bCs/>
          <w:szCs w:val="21"/>
        </w:rPr>
      </w:pPr>
      <w:r>
        <w:rPr>
          <w:rFonts w:hint="eastAsia" w:ascii="宋体" w:hAnsi="宋体" w:cs="宋体"/>
          <w:b/>
          <w:bCs/>
          <w:szCs w:val="21"/>
          <w:lang w:val="zh-CN"/>
        </w:rPr>
        <w:t>课程呈现设计要求：</w:t>
      </w:r>
    </w:p>
    <w:p>
      <w:pPr>
        <w:pStyle w:val="17"/>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rPr>
      </w:pPr>
      <w:r>
        <w:rPr>
          <w:rFonts w:ascii="宋体" w:hAnsi="宋体" w:cs="宋体"/>
        </w:rPr>
        <w:t>1、</w:t>
      </w:r>
      <w:r>
        <w:rPr>
          <w:rFonts w:hint="eastAsia" w:ascii="宋体" w:hAnsi="宋体" w:cs="宋体"/>
          <w:lang w:eastAsia="zh-Hans"/>
        </w:rPr>
        <w:t>制作人</w:t>
      </w:r>
      <w:r>
        <w:rPr>
          <w:rFonts w:hint="eastAsia" w:ascii="宋体" w:hAnsi="宋体" w:cs="宋体"/>
        </w:rPr>
        <w:t>需</w:t>
      </w:r>
      <w:r>
        <w:rPr>
          <w:rFonts w:hint="eastAsia" w:ascii="宋体" w:hAnsi="宋体" w:cs="宋体"/>
          <w:lang w:val="zh-CN"/>
        </w:rPr>
        <w:t>同课程主要负责人根据课程标准制定整体教学设计。需要从教学设计原则出发，协助教师团队分析课程，完成在线开放课程的整体框架设计、资源的组织与运用，形成完整的课程组织结构，后续支持教师基于平台开展混合式教学</w:t>
      </w:r>
      <w:r>
        <w:rPr>
          <w:rFonts w:ascii="宋体" w:hAnsi="宋体" w:cs="宋体"/>
        </w:rPr>
        <w:t>。</w:t>
      </w:r>
    </w:p>
    <w:p>
      <w:pPr>
        <w:pStyle w:val="17"/>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lang w:val="zh-CN"/>
        </w:rPr>
      </w:pPr>
      <w:r>
        <w:rPr>
          <w:rFonts w:hint="eastAsia" w:ascii="宋体" w:hAnsi="宋体" w:cs="宋体"/>
        </w:rPr>
        <w:t>2</w:t>
      </w:r>
      <w:r>
        <w:rPr>
          <w:rFonts w:ascii="宋体" w:hAnsi="宋体" w:cs="宋体"/>
        </w:rPr>
        <w:t>、</w:t>
      </w:r>
      <w:r>
        <w:rPr>
          <w:rFonts w:hint="eastAsia" w:ascii="宋体" w:hAnsi="宋体" w:cs="宋体"/>
          <w:lang w:eastAsia="zh-Hans"/>
        </w:rPr>
        <w:t>制作</w:t>
      </w:r>
      <w:r>
        <w:rPr>
          <w:rFonts w:hint="eastAsia" w:ascii="宋体" w:hAnsi="宋体" w:cs="宋体"/>
          <w:lang w:val="zh-CN"/>
        </w:rPr>
        <w:t>人</w:t>
      </w:r>
      <w:r>
        <w:rPr>
          <w:rFonts w:hint="eastAsia" w:ascii="宋体" w:hAnsi="宋体" w:cs="宋体"/>
        </w:rPr>
        <w:t>需</w:t>
      </w:r>
      <w:r>
        <w:rPr>
          <w:rFonts w:hint="eastAsia" w:ascii="宋体" w:hAnsi="宋体" w:cs="宋体"/>
          <w:lang w:val="zh-CN"/>
        </w:rPr>
        <w:t>配备完整的在线课程制作团队，提供全日制驻校服务并在加以承诺。</w:t>
      </w:r>
    </w:p>
    <w:p>
      <w:pPr>
        <w:pStyle w:val="17"/>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rPr>
      </w:pPr>
      <w:r>
        <w:rPr>
          <w:rFonts w:hint="eastAsia" w:ascii="宋体" w:hAnsi="宋体" w:cs="宋体"/>
        </w:rPr>
        <w:t>3</w:t>
      </w:r>
      <w:r>
        <w:rPr>
          <w:rFonts w:ascii="宋体" w:hAnsi="宋体" w:cs="宋体"/>
        </w:rPr>
        <w:t>、</w:t>
      </w:r>
      <w:r>
        <w:rPr>
          <w:rFonts w:hint="eastAsia" w:ascii="宋体" w:hAnsi="宋体" w:cs="宋体"/>
          <w:lang w:eastAsia="zh-Hans"/>
        </w:rPr>
        <w:t>制作</w:t>
      </w:r>
      <w:r>
        <w:rPr>
          <w:rFonts w:hint="eastAsia" w:ascii="宋体" w:hAnsi="宋体" w:cs="宋体"/>
          <w:lang w:val="zh-CN"/>
        </w:rPr>
        <w:t>人课程教学设计人员具备教育技术或影视编导专业学历背景</w:t>
      </w:r>
      <w:r>
        <w:rPr>
          <w:rFonts w:ascii="宋体" w:hAnsi="宋体" w:cs="宋体"/>
        </w:rPr>
        <w:t>。</w:t>
      </w:r>
    </w:p>
    <w:p>
      <w:pPr>
        <w:pStyle w:val="17"/>
        <w:keepNext w:val="0"/>
        <w:keepLines w:val="0"/>
        <w:pageBreakBefore w:val="0"/>
        <w:kinsoku/>
        <w:wordWrap/>
        <w:overflowPunct/>
        <w:topLinePunct w:val="0"/>
        <w:autoSpaceDE/>
        <w:autoSpaceDN/>
        <w:bidi w:val="0"/>
        <w:adjustRightInd/>
        <w:snapToGrid/>
        <w:spacing w:line="240" w:lineRule="auto"/>
        <w:ind w:firstLine="422"/>
        <w:textAlignment w:val="auto"/>
        <w:rPr>
          <w:rFonts w:hint="eastAsia" w:ascii="宋体" w:hAnsi="宋体" w:cs="宋体"/>
          <w:b/>
          <w:bCs/>
          <w:szCs w:val="21"/>
          <w:lang w:val="en-US" w:eastAsia="zh-CN"/>
        </w:rPr>
      </w:pPr>
      <w:r>
        <w:rPr>
          <w:rFonts w:hint="eastAsia" w:ascii="宋体" w:hAnsi="宋体" w:cs="宋体"/>
          <w:b/>
          <w:bCs/>
          <w:szCs w:val="21"/>
          <w:lang w:val="en-US" w:eastAsia="zh-CN"/>
        </w:rPr>
        <w:t>教材出版制作要求：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提供专业的项目实施团队。项目实施团队成员宜满足如下条件：具有课程开发专家、课程资源建设专家、教材出版专家，获得省、部级教学成果奖的，有过同类项目（教材建设或精品课程建设）业绩的优先；具有副编审及以上职称；具有资深大中专教材编辑，全国大中专国家规划教材金牌编辑或课程思政教材金牌编辑或新形态教材金牌编辑优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2.教材的集成与出版。包括</w:t>
      </w:r>
      <w:r>
        <w:rPr>
          <w:rFonts w:hint="eastAsia" w:ascii="宋体" w:hAnsi="宋体" w:eastAsia="宋体" w:cs="宋体"/>
          <w:color w:val="000000" w:themeColor="text1"/>
          <w:kern w:val="0"/>
          <w:sz w:val="21"/>
          <w:szCs w:val="21"/>
          <w:lang w:eastAsia="zh-CN"/>
          <w14:textFill>
            <w14:solidFill>
              <w14:schemeClr w14:val="tx1"/>
            </w14:solidFill>
          </w14:textFill>
        </w:rPr>
        <w:t>教材出版</w:t>
      </w:r>
      <w:r>
        <w:rPr>
          <w:rFonts w:hint="eastAsia" w:ascii="宋体" w:hAnsi="宋体" w:eastAsia="宋体" w:cs="宋体"/>
          <w:color w:val="000000" w:themeColor="text1"/>
          <w:kern w:val="0"/>
          <w:sz w:val="21"/>
          <w:szCs w:val="21"/>
          <w14:textFill>
            <w14:solidFill>
              <w14:schemeClr w14:val="tx1"/>
            </w14:solidFill>
          </w14:textFill>
        </w:rPr>
        <w:t>内容、功能、技术、生产、出版等总体框架的设计论证；功能、版权管理等技术验证；文本编辑完善；资源提供、审核、完善、标引、集成与封装；书号申领与发布。签订合同并提交合格稿件后，稿件及配套数字资源的完善、集成与出版在</w:t>
      </w:r>
      <w:r>
        <w:rPr>
          <w:rFonts w:hint="eastAsia" w:ascii="宋体" w:hAnsi="宋体" w:eastAsia="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个月内完成，并保证教材质量符合国家对电子出版物的有关规定。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3.项目整体服务要求：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3.1服务要求</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（1）成交供应商要为采购人教材编写者提供教材编写、研发等方面的集体培训不低于2次，合同签订之日起30个日历日内完成首次培训。后期指定专人对教材进行一对一服务。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（2）出版社需指定一名项目负责人，专人负责项目的协调工作，并及时处理编写教师在教材编写过程中的相关问题。</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（3）为保证教材质量，供应商应具备完成该项目所必备的专业出版、专业编辑、校对、排版、资源制作等人员，响应时提供加盖供应商公章的相关人员名单和资质证明。</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（4）成交供应商须有专业团队可提供</w:t>
      </w:r>
      <w:r>
        <w:rPr>
          <w:rFonts w:hint="eastAsia" w:ascii="宋体" w:hAnsi="宋体" w:eastAsia="宋体" w:cs="宋体"/>
          <w:color w:val="000000"/>
          <w:sz w:val="21"/>
          <w:szCs w:val="21"/>
          <w:lang w:eastAsia="zh-CN"/>
        </w:rPr>
        <w:t>教材出版</w:t>
      </w:r>
      <w:r>
        <w:rPr>
          <w:rFonts w:hint="eastAsia" w:ascii="宋体" w:hAnsi="宋体" w:eastAsia="宋体" w:cs="宋体"/>
          <w:color w:val="000000"/>
          <w:sz w:val="21"/>
          <w:szCs w:val="21"/>
        </w:rPr>
        <w:t>配套资源的编辑整理和二次加工的工作，教材的资源类型包括但不限于：音视频、动画、图片、文档、VR仿真资源等。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 技术要求</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3.2.1.教材组稿</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教材初审：责任编辑人员对教材稿件进行审核，符合校企融合，满足新技术、新工艺、新流程、新规范、新标准等最新的文件要求，按照学校需求对教材书稿进行初审。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3.2.2.</w:t>
      </w:r>
      <w:r>
        <w:rPr>
          <w:rFonts w:hint="eastAsia" w:ascii="宋体" w:hAnsi="宋体" w:eastAsia="宋体" w:cs="宋体"/>
          <w:sz w:val="21"/>
          <w:szCs w:val="21"/>
          <w:lang w:eastAsia="zh-CN"/>
        </w:rPr>
        <w:t>教材出版</w:t>
      </w:r>
      <w:r>
        <w:rPr>
          <w:rFonts w:hint="eastAsia" w:ascii="宋体" w:hAnsi="宋体" w:eastAsia="宋体" w:cs="宋体"/>
          <w:sz w:val="21"/>
          <w:szCs w:val="21"/>
        </w:rPr>
        <w:t>加工审校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（1）教材编写培训:责任编辑对项目参建人员进行教材建设整体要求、教材内容及体例要求、教材具体建设流程及平台使用的培训，做好顶层设计。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预审稿件:责任编辑审阅教材目录、样章、资源样例，根据《职业院校教材管理办法》等文件要求，给出整体修改意见，完善教材内容。预审人员具备相关专业素养，能够确认书稿名称、知识点及篇幅安排是否符合高等职业教育国家专业教学标准，同时能够确认书稿体例、样章是否符合相关出版要求。</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一审:责任编辑审读全书稿件，负责三审中的第一个审次，使稿件的内容更完善，体例更严谨，材料更准确，语言文字更通达，逻辑更严密，消除一般性差错，防止出现原则性错误。在教材及资源内容的政治性、知识性、文字规范性、体例格式统一性等方面把好关。</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二三审:二审应根据书稿内容质量、重点难点和一审加工情况，审读100%的正文和全部插图，对书稿质量及一审报告提出二审意见解决一审提出的问题。二审人员原则上须具有大学本科以上（含本科）学历，具有编辑工作经历，三审根据书稿内容质量、重点难点和一、二审加工情况，有针对性地重点审读20%～100%的正文和50%插图。三审人员原则上须具有大学本科以上（含本科）学历，具有编辑工作经历，担任过二审工作。投标人严格执行一审之后的复审与终审，并由相应加工记录留存。</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责任编辑审核全书配套数字资源，对资源内容的政治思想性、科学性、适用性以及社会价值和文化学术价值进行审查，把好政治关、知识关。项目团队具备规范的课程审读制度，可提供专业的学科编辑团队，对于</w:t>
      </w:r>
      <w:r>
        <w:rPr>
          <w:rFonts w:hint="eastAsia" w:ascii="宋体" w:hAnsi="宋体" w:eastAsia="宋体" w:cs="宋体"/>
          <w:sz w:val="21"/>
          <w:szCs w:val="21"/>
          <w:lang w:eastAsia="zh-CN"/>
        </w:rPr>
        <w:t>教材出版</w:t>
      </w:r>
      <w:r>
        <w:rPr>
          <w:rFonts w:hint="eastAsia" w:ascii="宋体" w:hAnsi="宋体" w:eastAsia="宋体" w:cs="宋体"/>
          <w:sz w:val="21"/>
          <w:szCs w:val="21"/>
        </w:rPr>
        <w:t>配套的数字资源，进行审核工作，对资源质量进行把关。</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校对:责任校对按国家对图书出版“三审三校”的要求，完成三次校对工作，提升书稿整体质量，再次降低差错率。项目团队拥有具备规范的校对流程和较大规模的专职校对人员，能够完成一校、二校和三校的三校流程，并在每个环节都有相应的记录留存。</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3.2.3.教材板式设计与排版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（1）正文设计与排版：版式设计根据书稿内容及责任编辑提出的要求，从版式库中选取或自行设计版式。版式设计要统一、合理、美观、实用。专职设计排版人员能够完成各类稿件的排版设计。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（2）绘图：绘图工作包括审图、插图设计、图稿加工和整理等环节。要求责任绘图按编辑要求绘制成内容正确、画面清晰、线型合理、体例统一、缩比适当的制版图。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①具备规范的图片重绘流程和一定规模的专职绘图人员，能够完成线条图、截屏图等图片的单色、双色、四色处理。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②照片、截屏图上的图注和指示线需在矢量文件中分层加工标注；双色和四色图片上的图注，根据具体情况做叠印处理，加工后的图片影像清晰，色彩层次丰富。</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③线条图必须是可编辑的矢量图，严禁插入TIF或JPEG图取代；虚线必须在描边中设置间隙距离，不可使用白色填充在实线上进行遮盖。</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封面设计：专业技术职务的美术编辑担任封面设计，在坚持思想性、科学性、艺术性统一的原则下进行封面设计工作，封面图案应无政治、民族、宗教、国际关系、版权等问题，不允许出现知识性、常识性和文字差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rPr>
        <w:t>3.2.4.</w:t>
      </w:r>
      <w:r>
        <w:rPr>
          <w:rFonts w:hint="eastAsia" w:ascii="宋体" w:hAnsi="宋体" w:eastAsia="宋体" w:cs="宋体"/>
          <w:sz w:val="21"/>
          <w:szCs w:val="21"/>
          <w:lang w:eastAsia="zh-CN"/>
        </w:rPr>
        <w:t>教材出版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（1）本项目出版的教材均为公开发行，每项</w:t>
      </w:r>
      <w:r>
        <w:rPr>
          <w:rFonts w:hint="eastAsia" w:ascii="宋体" w:hAnsi="宋体" w:eastAsia="宋体" w:cs="宋体"/>
          <w:color w:val="000000"/>
          <w:sz w:val="21"/>
          <w:szCs w:val="21"/>
          <w:lang w:eastAsia="zh-CN"/>
        </w:rPr>
        <w:t>教材出版</w:t>
      </w:r>
      <w:r>
        <w:rPr>
          <w:rFonts w:hint="eastAsia" w:ascii="宋体" w:hAnsi="宋体" w:eastAsia="宋体" w:cs="宋体"/>
          <w:color w:val="000000"/>
          <w:sz w:val="21"/>
          <w:szCs w:val="21"/>
        </w:rPr>
        <w:t>均需要有单独的教材书号。</w:t>
      </w:r>
      <w:r>
        <w:rPr>
          <w:rFonts w:hint="eastAsia" w:ascii="宋体" w:hAnsi="宋体" w:eastAsia="宋体" w:cs="宋体"/>
          <w:color w:val="000000"/>
          <w:sz w:val="21"/>
          <w:szCs w:val="21"/>
          <w:lang w:eastAsia="zh-CN"/>
        </w:rPr>
        <w:t>教材出版</w:t>
      </w:r>
      <w:r>
        <w:rPr>
          <w:rFonts w:hint="eastAsia" w:ascii="宋体" w:hAnsi="宋体" w:eastAsia="宋体" w:cs="宋体"/>
          <w:color w:val="000000"/>
          <w:sz w:val="21"/>
          <w:szCs w:val="21"/>
        </w:rPr>
        <w:t>内容适合教学需求、具有较强的适用性、合规性。</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cs="宋体"/>
        </w:rPr>
      </w:pPr>
      <w:r>
        <w:rPr>
          <w:rFonts w:hint="eastAsia" w:ascii="宋体" w:hAnsi="宋体" w:eastAsia="宋体" w:cs="宋体"/>
          <w:color w:val="000000"/>
          <w:sz w:val="21"/>
          <w:szCs w:val="21"/>
        </w:rPr>
        <w:t>（2）签订《</w:t>
      </w:r>
      <w:r>
        <w:rPr>
          <w:rFonts w:hint="eastAsia" w:ascii="宋体" w:hAnsi="宋体" w:eastAsia="宋体" w:cs="宋体"/>
          <w:color w:val="000000"/>
          <w:sz w:val="21"/>
          <w:szCs w:val="21"/>
          <w:lang w:eastAsia="zh-CN"/>
        </w:rPr>
        <w:t>教材出版</w:t>
      </w:r>
      <w:r>
        <w:rPr>
          <w:rFonts w:hint="eastAsia" w:ascii="宋体" w:hAnsi="宋体" w:eastAsia="宋体" w:cs="宋体"/>
          <w:color w:val="000000"/>
          <w:sz w:val="21"/>
          <w:szCs w:val="21"/>
        </w:rPr>
        <w:t>合同》，向国家新闻出版广电总局申请电子出版物版号，使教材达到参评各类国家教材评选项目（含电子出版物）的要求。</w:t>
      </w:r>
    </w:p>
    <w:p>
      <w:pPr>
        <w:numPr>
          <w:ilvl w:val="0"/>
          <w:numId w:val="1"/>
        </w:numPr>
        <w:spacing w:line="360" w:lineRule="auto"/>
        <w:outlineLvl w:val="0"/>
        <w:rPr>
          <w:b/>
          <w:bCs/>
          <w:sz w:val="24"/>
        </w:rPr>
      </w:pPr>
      <w:r>
        <w:rPr>
          <w:rFonts w:hint="eastAsia"/>
          <w:b/>
          <w:bCs/>
          <w:sz w:val="24"/>
        </w:rPr>
        <w:t>采购内容★</w:t>
      </w:r>
    </w:p>
    <w:tbl>
      <w:tblPr>
        <w:tblStyle w:val="11"/>
        <w:tblW w:w="79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38"/>
        <w:gridCol w:w="1252"/>
        <w:gridCol w:w="1238"/>
        <w:gridCol w:w="42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3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center"/>
              <w:rPr>
                <w:rFonts w:hint="eastAsia" w:eastAsiaTheme="minorEastAsia"/>
                <w:b/>
                <w:bCs/>
                <w:sz w:val="18"/>
                <w:szCs w:val="18"/>
                <w:lang w:val="en-US" w:eastAsia="zh-CN"/>
              </w:rPr>
            </w:pPr>
            <w:r>
              <w:rPr>
                <w:rFonts w:hint="eastAsia"/>
                <w:b/>
                <w:bCs/>
                <w:sz w:val="18"/>
                <w:szCs w:val="18"/>
                <w:lang w:val="en-US" w:eastAsia="zh-CN"/>
              </w:rPr>
              <w:t>项目</w:t>
            </w:r>
          </w:p>
        </w:tc>
        <w:tc>
          <w:tcPr>
            <w:tcW w:w="125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center"/>
              <w:rPr>
                <w:rFonts w:hint="default" w:eastAsiaTheme="minorEastAsia"/>
                <w:b/>
                <w:bCs/>
                <w:sz w:val="18"/>
                <w:szCs w:val="18"/>
                <w:lang w:val="en-US" w:eastAsia="zh-CN"/>
              </w:rPr>
            </w:pPr>
            <w:r>
              <w:rPr>
                <w:rFonts w:hint="eastAsia"/>
                <w:b/>
                <w:bCs/>
                <w:sz w:val="18"/>
                <w:szCs w:val="18"/>
                <w:lang w:val="en-US" w:eastAsia="zh-CN"/>
              </w:rPr>
              <w:t>类目</w:t>
            </w:r>
          </w:p>
        </w:tc>
        <w:tc>
          <w:tcPr>
            <w:tcW w:w="123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center"/>
              <w:rPr>
                <w:rFonts w:hint="default" w:eastAsiaTheme="minorEastAsia"/>
                <w:b/>
                <w:bCs/>
                <w:sz w:val="18"/>
                <w:szCs w:val="18"/>
                <w:lang w:val="en-US" w:eastAsia="zh-CN"/>
              </w:rPr>
            </w:pPr>
            <w:r>
              <w:rPr>
                <w:rFonts w:hint="eastAsia"/>
                <w:b/>
                <w:bCs/>
                <w:sz w:val="18"/>
                <w:szCs w:val="18"/>
              </w:rPr>
              <w:t>数量</w:t>
            </w:r>
            <w:r>
              <w:rPr>
                <w:rFonts w:hint="eastAsia"/>
                <w:b/>
                <w:bCs/>
                <w:sz w:val="18"/>
                <w:szCs w:val="18"/>
                <w:lang w:val="en-US" w:eastAsia="zh-CN"/>
              </w:rPr>
              <w:t>/单位</w:t>
            </w:r>
          </w:p>
        </w:tc>
        <w:tc>
          <w:tcPr>
            <w:tcW w:w="423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center"/>
              <w:rPr>
                <w:rFonts w:hint="eastAsia" w:eastAsiaTheme="minorEastAsia"/>
                <w:b/>
                <w:bCs/>
                <w:sz w:val="18"/>
                <w:szCs w:val="18"/>
                <w:lang w:val="en-US" w:eastAsia="zh-CN"/>
              </w:rPr>
            </w:pPr>
            <w:r>
              <w:rPr>
                <w:rFonts w:hint="eastAsia"/>
                <w:b/>
                <w:bCs/>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8" w:type="dxa"/>
            <w:vMerge w:val="restart"/>
            <w:tcBorders>
              <w:top w:val="single" w:color="auto" w:sz="4" w:space="0"/>
              <w:left w:val="single" w:color="auto" w:sz="4" w:space="0"/>
              <w:right w:val="single" w:color="auto" w:sz="4" w:space="0"/>
            </w:tcBorders>
            <w:vAlign w:val="center"/>
          </w:tcPr>
          <w:p>
            <w:pPr>
              <w:snapToGrid w:val="0"/>
              <w:spacing w:line="240" w:lineRule="auto"/>
              <w:ind w:left="0" w:leftChars="0" w:right="0" w:rightChars="0" w:firstLine="0" w:firstLineChars="0"/>
              <w:jc w:val="left"/>
              <w:rPr>
                <w:rFonts w:hint="default" w:ascii="宋体" w:eastAsia="宋体" w:hAnsiTheme="minorEastAsia"/>
                <w:b/>
                <w:sz w:val="18"/>
                <w:szCs w:val="18"/>
                <w:lang w:val="en-US" w:eastAsia="zh-CN"/>
              </w:rPr>
            </w:pPr>
            <w:r>
              <w:rPr>
                <w:rFonts w:hint="eastAsia" w:ascii="宋体" w:eastAsia="宋体" w:hAnsiTheme="minorEastAsia"/>
                <w:b/>
                <w:sz w:val="18"/>
                <w:szCs w:val="18"/>
                <w:lang w:val="en-US" w:eastAsia="zh-CN"/>
              </w:rPr>
              <w:t>《计算机网络》精品课</w:t>
            </w:r>
          </w:p>
        </w:tc>
        <w:tc>
          <w:tcPr>
            <w:tcW w:w="125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default" w:ascii="宋体" w:eastAsia="宋体" w:cs="宋体" w:hAnsiTheme="minorEastAsia"/>
                <w:sz w:val="18"/>
                <w:szCs w:val="18"/>
                <w:lang w:val="en-US" w:eastAsia="zh-CN"/>
              </w:rPr>
            </w:pPr>
            <w:r>
              <w:rPr>
                <w:rFonts w:hint="eastAsia" w:ascii="宋体" w:eastAsia="宋体" w:cs="宋体" w:hAnsiTheme="minorEastAsia"/>
                <w:sz w:val="18"/>
                <w:szCs w:val="18"/>
                <w:lang w:val="en-US" w:eastAsia="zh-CN"/>
              </w:rPr>
              <w:t>课程概述</w:t>
            </w:r>
          </w:p>
        </w:tc>
        <w:tc>
          <w:tcPr>
            <w:tcW w:w="123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default" w:ascii="宋体" w:eastAsia="宋体" w:cs="宋体" w:hAnsiTheme="minorEastAsia"/>
                <w:sz w:val="18"/>
                <w:szCs w:val="18"/>
                <w:lang w:val="en-US" w:eastAsia="zh-CN"/>
              </w:rPr>
            </w:pPr>
            <w:r>
              <w:rPr>
                <w:rFonts w:hint="eastAsia" w:ascii="宋体" w:eastAsia="宋体" w:cs="宋体" w:hAnsiTheme="minorEastAsia"/>
                <w:sz w:val="18"/>
                <w:szCs w:val="18"/>
                <w:lang w:val="en-US" w:eastAsia="zh-CN"/>
              </w:rPr>
              <w:t>1条</w:t>
            </w:r>
          </w:p>
        </w:tc>
        <w:tc>
          <w:tcPr>
            <w:tcW w:w="423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eastAsia" w:ascii="宋体" w:eastAsia="宋体" w:cs="宋体" w:hAnsiTheme="minorEastAsia"/>
                <w:sz w:val="18"/>
                <w:szCs w:val="18"/>
                <w:lang w:val="en-US" w:eastAsia="zh-CN"/>
              </w:rPr>
            </w:pPr>
            <w:r>
              <w:rPr>
                <w:rFonts w:hint="eastAsia" w:ascii="宋体" w:hAnsi="宋体" w:eastAsia="宋体" w:cs="宋体"/>
                <w:b w:val="0"/>
                <w:bCs w:val="0"/>
                <w:color w:val="auto"/>
                <w:kern w:val="0"/>
                <w:sz w:val="18"/>
                <w:szCs w:val="18"/>
                <w:highlight w:val="none"/>
                <w:lang w:val="en-US" w:eastAsia="zh-CN" w:bidi="ar-SA"/>
              </w:rPr>
              <w:t>5—10分钟，含基本信息、课程设计、课程建设、课程实施、教学环境、教学效果和特色创新之处等。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8" w:type="dxa"/>
            <w:vMerge w:val="continue"/>
            <w:tcBorders>
              <w:left w:val="single" w:color="auto" w:sz="4" w:space="0"/>
              <w:right w:val="single" w:color="auto" w:sz="4" w:space="0"/>
            </w:tcBorders>
            <w:vAlign w:val="center"/>
          </w:tcPr>
          <w:p>
            <w:pPr>
              <w:snapToGrid w:val="0"/>
              <w:spacing w:line="240" w:lineRule="auto"/>
              <w:ind w:left="0" w:leftChars="0" w:right="0" w:rightChars="0" w:firstLine="0" w:firstLineChars="0"/>
              <w:jc w:val="left"/>
              <w:rPr>
                <w:rFonts w:hint="eastAsia" w:ascii="宋体" w:eastAsia="宋体" w:hAnsiTheme="minorEastAsia"/>
                <w:b/>
                <w:sz w:val="18"/>
                <w:szCs w:val="18"/>
                <w:lang w:val="en-US" w:eastAsia="zh-CN"/>
              </w:rPr>
            </w:pPr>
          </w:p>
        </w:tc>
        <w:tc>
          <w:tcPr>
            <w:tcW w:w="1252" w:type="dxa"/>
            <w:tcBorders>
              <w:top w:val="single" w:color="auto" w:sz="4" w:space="0"/>
              <w:left w:val="single" w:color="auto" w:sz="4" w:space="0"/>
              <w:right w:val="single" w:color="auto" w:sz="4" w:space="0"/>
            </w:tcBorders>
            <w:vAlign w:val="center"/>
          </w:tcPr>
          <w:p>
            <w:pPr>
              <w:snapToGrid w:val="0"/>
              <w:spacing w:line="240" w:lineRule="auto"/>
              <w:ind w:left="0" w:leftChars="0" w:right="0" w:rightChars="0" w:firstLine="0" w:firstLineChars="0"/>
              <w:jc w:val="left"/>
              <w:rPr>
                <w:rFonts w:hint="eastAsia" w:ascii="宋体" w:eastAsia="宋体" w:cs="宋体" w:hAnsiTheme="minorEastAsia"/>
                <w:sz w:val="18"/>
                <w:szCs w:val="18"/>
                <w:lang w:eastAsia="zh-Hans"/>
              </w:rPr>
            </w:pPr>
            <w:r>
              <w:rPr>
                <w:rFonts w:hint="eastAsia" w:ascii="宋体" w:eastAsia="宋体" w:cs="宋体" w:hAnsiTheme="minorEastAsia"/>
                <w:sz w:val="18"/>
                <w:szCs w:val="18"/>
                <w:lang w:val="en-US" w:eastAsia="zh-CN"/>
              </w:rPr>
              <w:t>微课</w:t>
            </w:r>
          </w:p>
        </w:tc>
        <w:tc>
          <w:tcPr>
            <w:tcW w:w="1238" w:type="dxa"/>
            <w:tcBorders>
              <w:top w:val="single" w:color="auto" w:sz="4" w:space="0"/>
              <w:left w:val="single" w:color="auto" w:sz="4" w:space="0"/>
              <w:right w:val="single" w:color="auto" w:sz="4" w:space="0"/>
            </w:tcBorders>
            <w:vAlign w:val="center"/>
          </w:tcPr>
          <w:p>
            <w:pPr>
              <w:snapToGrid w:val="0"/>
              <w:spacing w:line="240" w:lineRule="auto"/>
              <w:ind w:left="0" w:leftChars="0" w:right="0" w:rightChars="0" w:firstLine="0" w:firstLineChars="0"/>
              <w:jc w:val="left"/>
              <w:rPr>
                <w:rFonts w:hint="default" w:ascii="宋体" w:eastAsia="宋体" w:cs="宋体" w:hAnsiTheme="minorEastAsia"/>
                <w:sz w:val="18"/>
                <w:szCs w:val="18"/>
                <w:lang w:val="en-US" w:eastAsia="zh-CN"/>
              </w:rPr>
            </w:pPr>
            <w:r>
              <w:rPr>
                <w:rFonts w:hint="eastAsia" w:ascii="宋体" w:eastAsia="宋体" w:cs="宋体" w:hAnsiTheme="minorEastAsia"/>
                <w:sz w:val="18"/>
                <w:szCs w:val="18"/>
                <w:lang w:val="en-US" w:eastAsia="zh-CN"/>
              </w:rPr>
              <w:t>40条</w:t>
            </w:r>
          </w:p>
        </w:tc>
        <w:tc>
          <w:tcPr>
            <w:tcW w:w="4239" w:type="dxa"/>
            <w:tcBorders>
              <w:top w:val="single" w:color="auto" w:sz="4" w:space="0"/>
              <w:left w:val="single" w:color="auto" w:sz="4" w:space="0"/>
              <w:right w:val="single" w:color="auto" w:sz="4" w:space="0"/>
            </w:tcBorders>
            <w:vAlign w:val="center"/>
          </w:tcPr>
          <w:p>
            <w:pPr>
              <w:snapToGrid w:val="0"/>
              <w:spacing w:line="240" w:lineRule="auto"/>
              <w:ind w:left="0" w:leftChars="0" w:right="0" w:rightChars="0" w:firstLine="0" w:firstLineChars="0"/>
              <w:jc w:val="left"/>
              <w:rPr>
                <w:rFonts w:hint="eastAsia" w:ascii="宋体" w:eastAsia="宋体" w:cs="宋体" w:hAnsiTheme="minorEastAsia"/>
                <w:sz w:val="18"/>
                <w:szCs w:val="18"/>
                <w:lang w:val="en-US" w:eastAsia="zh-CN"/>
              </w:rPr>
            </w:pPr>
            <w:r>
              <w:rPr>
                <w:rFonts w:hint="eastAsia" w:ascii="宋体" w:hAnsi="宋体" w:eastAsia="宋体" w:cs="宋体"/>
                <w:b w:val="0"/>
                <w:bCs w:val="0"/>
                <w:color w:val="auto"/>
                <w:kern w:val="0"/>
                <w:sz w:val="18"/>
                <w:szCs w:val="18"/>
                <w:highlight w:val="none"/>
                <w:lang w:val="en-US" w:eastAsia="zh-CN" w:bidi="ar-SA"/>
              </w:rPr>
              <w:t>片头尾拍摄，包含片头片尾制作、视频调色、剪辑制作、字幕制作，每条时长5—15分钟左右。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8" w:type="dxa"/>
            <w:vMerge w:val="continue"/>
            <w:tcBorders>
              <w:left w:val="single" w:color="auto" w:sz="4" w:space="0"/>
              <w:right w:val="single" w:color="auto" w:sz="4" w:space="0"/>
            </w:tcBorders>
            <w:vAlign w:val="center"/>
          </w:tcPr>
          <w:p>
            <w:pPr>
              <w:snapToGrid w:val="0"/>
              <w:spacing w:line="240" w:lineRule="auto"/>
              <w:ind w:left="0" w:leftChars="0" w:right="0" w:rightChars="0" w:firstLine="0" w:firstLineChars="0"/>
              <w:jc w:val="left"/>
              <w:rPr>
                <w:rFonts w:hint="default" w:ascii="宋体" w:eastAsia="宋体" w:hAnsiTheme="minorEastAsia"/>
                <w:b/>
                <w:sz w:val="18"/>
                <w:szCs w:val="18"/>
                <w:lang w:val="en-US" w:eastAsia="zh-CN"/>
              </w:rPr>
            </w:pPr>
          </w:p>
        </w:tc>
        <w:tc>
          <w:tcPr>
            <w:tcW w:w="1252" w:type="dxa"/>
            <w:tcBorders>
              <w:top w:val="single" w:color="auto" w:sz="4" w:space="0"/>
              <w:left w:val="single" w:color="auto" w:sz="4" w:space="0"/>
              <w:right w:val="single" w:color="auto" w:sz="4" w:space="0"/>
            </w:tcBorders>
            <w:vAlign w:val="center"/>
          </w:tcPr>
          <w:p>
            <w:pPr>
              <w:snapToGrid w:val="0"/>
              <w:spacing w:line="240" w:lineRule="auto"/>
              <w:ind w:left="0" w:leftChars="0" w:right="0" w:rightChars="0" w:firstLine="0" w:firstLineChars="0"/>
              <w:jc w:val="left"/>
              <w:rPr>
                <w:rFonts w:hint="eastAsia" w:ascii="宋体" w:eastAsia="宋体" w:cs="宋体" w:hAnsiTheme="minorEastAsia"/>
                <w:sz w:val="18"/>
                <w:szCs w:val="18"/>
                <w:lang w:val="en-US" w:eastAsia="zh-CN"/>
              </w:rPr>
            </w:pPr>
            <w:r>
              <w:rPr>
                <w:rFonts w:hint="eastAsia" w:ascii="宋体" w:eastAsia="宋体" w:cs="宋体" w:hAnsiTheme="minorEastAsia"/>
                <w:sz w:val="18"/>
                <w:szCs w:val="18"/>
                <w:lang w:val="en-US" w:eastAsia="zh-CN"/>
              </w:rPr>
              <w:t>教学ppt</w:t>
            </w:r>
          </w:p>
        </w:tc>
        <w:tc>
          <w:tcPr>
            <w:tcW w:w="1238" w:type="dxa"/>
            <w:tcBorders>
              <w:top w:val="single" w:color="auto" w:sz="4" w:space="0"/>
              <w:left w:val="single" w:color="auto" w:sz="4" w:space="0"/>
              <w:right w:val="single" w:color="auto" w:sz="4" w:space="0"/>
            </w:tcBorders>
            <w:vAlign w:val="center"/>
          </w:tcPr>
          <w:p>
            <w:pPr>
              <w:snapToGrid w:val="0"/>
              <w:spacing w:line="240" w:lineRule="auto"/>
              <w:ind w:left="0" w:leftChars="0" w:right="0" w:rightChars="0" w:firstLine="0" w:firstLineChars="0"/>
              <w:jc w:val="left"/>
              <w:rPr>
                <w:rFonts w:hint="default" w:ascii="宋体" w:eastAsia="宋体" w:cs="宋体" w:hAnsiTheme="minorEastAsia"/>
                <w:sz w:val="18"/>
                <w:szCs w:val="18"/>
                <w:lang w:val="en-US" w:eastAsia="zh-CN"/>
              </w:rPr>
            </w:pPr>
            <w:r>
              <w:rPr>
                <w:rFonts w:hint="eastAsia" w:ascii="宋体" w:eastAsia="宋体" w:cs="宋体" w:hAnsiTheme="minorEastAsia"/>
                <w:sz w:val="18"/>
                <w:szCs w:val="18"/>
                <w:lang w:val="en-US" w:eastAsia="zh-CN"/>
              </w:rPr>
              <w:t>40套</w:t>
            </w:r>
          </w:p>
        </w:tc>
        <w:tc>
          <w:tcPr>
            <w:tcW w:w="4239" w:type="dxa"/>
            <w:tcBorders>
              <w:top w:val="single" w:color="auto" w:sz="4" w:space="0"/>
              <w:left w:val="single" w:color="auto" w:sz="4" w:space="0"/>
              <w:right w:val="single" w:color="auto" w:sz="4" w:space="0"/>
            </w:tcBorders>
            <w:vAlign w:val="center"/>
          </w:tcPr>
          <w:p>
            <w:pPr>
              <w:snapToGrid w:val="0"/>
              <w:spacing w:line="240" w:lineRule="auto"/>
              <w:ind w:left="0" w:leftChars="0" w:right="0" w:rightChars="0" w:firstLine="0" w:firstLineChars="0"/>
              <w:jc w:val="left"/>
              <w:rPr>
                <w:rFonts w:hint="eastAsia" w:ascii="宋体" w:eastAsia="宋体" w:cs="宋体" w:hAnsiTheme="minorEastAsia"/>
                <w:sz w:val="18"/>
                <w:szCs w:val="18"/>
                <w:lang w:val="en-US" w:eastAsia="zh-CN"/>
              </w:rPr>
            </w:pPr>
            <w:r>
              <w:rPr>
                <w:rFonts w:hint="eastAsia" w:ascii="宋体" w:hAnsi="宋体" w:eastAsia="宋体" w:cs="宋体"/>
                <w:b w:val="0"/>
                <w:bCs w:val="0"/>
                <w:color w:val="auto"/>
                <w:kern w:val="0"/>
                <w:sz w:val="18"/>
                <w:szCs w:val="18"/>
                <w:highlight w:val="none"/>
                <w:lang w:val="en-US" w:eastAsia="zh-CN" w:bidi="ar-SA"/>
              </w:rPr>
              <w:t>配套PPT排版、美化（每套20页以内）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8" w:type="dxa"/>
            <w:vMerge w:val="continue"/>
            <w:tcBorders>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default" w:ascii="宋体" w:eastAsia="宋体" w:hAnsiTheme="minorEastAsia"/>
                <w:b/>
                <w:sz w:val="18"/>
                <w:szCs w:val="18"/>
                <w:lang w:val="en-US" w:eastAsia="zh-CN"/>
              </w:rPr>
            </w:pPr>
          </w:p>
        </w:tc>
        <w:tc>
          <w:tcPr>
            <w:tcW w:w="125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default" w:ascii="宋体" w:eastAsia="宋体" w:cs="宋体" w:hAnsiTheme="minorEastAsia"/>
                <w:sz w:val="18"/>
                <w:szCs w:val="18"/>
                <w:lang w:val="en-US" w:eastAsia="zh-CN"/>
              </w:rPr>
            </w:pPr>
            <w:r>
              <w:rPr>
                <w:rFonts w:hint="eastAsia" w:ascii="宋体" w:eastAsia="宋体" w:cs="宋体" w:hAnsiTheme="minorEastAsia"/>
                <w:sz w:val="18"/>
                <w:szCs w:val="18"/>
                <w:lang w:val="en-US" w:eastAsia="zh-CN"/>
              </w:rPr>
              <w:t>文本材料</w:t>
            </w:r>
          </w:p>
        </w:tc>
        <w:tc>
          <w:tcPr>
            <w:tcW w:w="123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default" w:ascii="宋体" w:eastAsia="宋体" w:cs="宋体" w:hAnsiTheme="minorEastAsia"/>
                <w:sz w:val="18"/>
                <w:szCs w:val="18"/>
                <w:lang w:val="en-US" w:eastAsia="zh-CN"/>
              </w:rPr>
            </w:pPr>
            <w:r>
              <w:rPr>
                <w:rFonts w:hint="eastAsia" w:ascii="宋体" w:eastAsia="宋体" w:cs="宋体" w:hAnsiTheme="minorEastAsia"/>
                <w:sz w:val="18"/>
                <w:szCs w:val="18"/>
                <w:lang w:val="en-US" w:eastAsia="zh-CN"/>
              </w:rPr>
              <w:t>1套</w:t>
            </w:r>
          </w:p>
        </w:tc>
        <w:tc>
          <w:tcPr>
            <w:tcW w:w="423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eastAsia" w:ascii="宋体" w:eastAsia="宋体" w:cs="宋体" w:hAnsiTheme="minorEastAsia"/>
                <w:sz w:val="18"/>
                <w:szCs w:val="18"/>
                <w:lang w:val="en-US" w:eastAsia="zh-CN"/>
              </w:rPr>
            </w:pPr>
            <w:r>
              <w:rPr>
                <w:rFonts w:hint="eastAsia" w:ascii="宋体" w:hAnsi="宋体" w:eastAsia="宋体" w:cs="宋体"/>
                <w:b w:val="0"/>
                <w:bCs w:val="0"/>
                <w:color w:val="auto"/>
                <w:kern w:val="0"/>
                <w:sz w:val="18"/>
                <w:szCs w:val="18"/>
                <w:highlight w:val="none"/>
                <w:lang w:val="en-US" w:eastAsia="zh-CN" w:bidi="ar-SA"/>
              </w:rPr>
              <w:t>课程介绍、课程负责人介绍、课程团队介绍、测验、作业、考试 、</w:t>
            </w:r>
            <w:r>
              <w:rPr>
                <w:rFonts w:hint="eastAsia" w:ascii="宋体" w:eastAsia="宋体" w:cs="宋体"/>
                <w:b w:val="0"/>
                <w:bCs w:val="0"/>
                <w:color w:val="auto"/>
                <w:kern w:val="0"/>
                <w:sz w:val="18"/>
                <w:szCs w:val="18"/>
                <w:highlight w:val="none"/>
                <w:lang w:val="en-US" w:eastAsia="zh-CN" w:bidi="ar-SA"/>
              </w:rPr>
              <w:t>案例、</w:t>
            </w:r>
            <w:r>
              <w:rPr>
                <w:rFonts w:hint="eastAsia" w:ascii="宋体" w:hAnsi="宋体" w:eastAsia="宋体" w:cs="宋体"/>
                <w:b w:val="0"/>
                <w:bCs w:val="0"/>
                <w:color w:val="auto"/>
                <w:kern w:val="0"/>
                <w:sz w:val="18"/>
                <w:szCs w:val="18"/>
                <w:highlight w:val="none"/>
                <w:lang w:val="en-US" w:eastAsia="zh-CN" w:bidi="ar-SA"/>
              </w:rPr>
              <w:t>综合习题500道以上等开展教学活动必需的资源。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default" w:ascii="宋体" w:eastAsia="宋体" w:hAnsiTheme="minorEastAsia"/>
                <w:b/>
                <w:sz w:val="18"/>
                <w:szCs w:val="18"/>
                <w:lang w:val="en-US" w:eastAsia="zh-CN"/>
              </w:rPr>
            </w:pPr>
            <w:r>
              <w:rPr>
                <w:rFonts w:hint="eastAsia" w:ascii="宋体" w:eastAsia="宋体" w:cs="宋体" w:hAnsiTheme="minorEastAsia"/>
                <w:b/>
                <w:bCs/>
                <w:sz w:val="18"/>
                <w:szCs w:val="18"/>
                <w:lang w:val="en-US" w:eastAsia="zh-CN"/>
              </w:rPr>
              <w:t>《计算机网络》</w:t>
            </w:r>
          </w:p>
        </w:tc>
        <w:tc>
          <w:tcPr>
            <w:tcW w:w="125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both"/>
              <w:rPr>
                <w:rFonts w:hint="default" w:ascii="宋体" w:eastAsia="宋体" w:cs="宋体" w:hAnsiTheme="minorEastAsia"/>
                <w:sz w:val="18"/>
                <w:szCs w:val="18"/>
                <w:lang w:val="en-US" w:eastAsia="zh-CN"/>
              </w:rPr>
            </w:pPr>
            <w:r>
              <w:rPr>
                <w:rFonts w:hint="eastAsia" w:ascii="宋体" w:eastAsia="宋体" w:cs="宋体" w:hAnsiTheme="minorEastAsia"/>
                <w:sz w:val="18"/>
                <w:szCs w:val="18"/>
                <w:lang w:val="en-US" w:eastAsia="zh-CN"/>
              </w:rPr>
              <w:t>数字教材出版</w:t>
            </w:r>
          </w:p>
        </w:tc>
        <w:tc>
          <w:tcPr>
            <w:tcW w:w="123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default" w:ascii="宋体" w:eastAsia="宋体" w:cs="宋体" w:hAnsiTheme="minorEastAsia"/>
                <w:sz w:val="18"/>
                <w:szCs w:val="18"/>
                <w:lang w:val="en-US" w:eastAsia="zh-CN"/>
              </w:rPr>
            </w:pPr>
            <w:r>
              <w:rPr>
                <w:rFonts w:hint="eastAsia" w:ascii="宋体" w:eastAsia="宋体" w:cs="宋体" w:hAnsiTheme="minorEastAsia"/>
                <w:sz w:val="18"/>
                <w:szCs w:val="18"/>
                <w:lang w:val="en-US" w:eastAsia="zh-CN"/>
              </w:rPr>
              <w:t>1本</w:t>
            </w:r>
          </w:p>
        </w:tc>
        <w:tc>
          <w:tcPr>
            <w:tcW w:w="423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color w:val="000000" w:themeColor="text1"/>
                <w:kern w:val="0"/>
                <w:sz w:val="18"/>
                <w:szCs w:val="18"/>
                <w14:textFill>
                  <w14:solidFill>
                    <w14:schemeClr w14:val="tx1"/>
                  </w14:solidFill>
                </w14:textFill>
              </w:rPr>
              <w:t>教材的集成与出版。包括</w:t>
            </w:r>
            <w:r>
              <w:rPr>
                <w:rFonts w:hint="eastAsia" w:ascii="宋体" w:hAnsi="宋体" w:eastAsia="宋体" w:cs="宋体"/>
                <w:color w:val="000000" w:themeColor="text1"/>
                <w:kern w:val="0"/>
                <w:sz w:val="18"/>
                <w:szCs w:val="18"/>
                <w:lang w:eastAsia="zh-CN"/>
                <w14:textFill>
                  <w14:solidFill>
                    <w14:schemeClr w14:val="tx1"/>
                  </w14:solidFill>
                </w14:textFill>
              </w:rPr>
              <w:t>教材出版</w:t>
            </w:r>
            <w:r>
              <w:rPr>
                <w:rFonts w:hint="eastAsia" w:ascii="宋体" w:hAnsi="宋体" w:eastAsia="宋体" w:cs="宋体"/>
                <w:color w:val="000000" w:themeColor="text1"/>
                <w:kern w:val="0"/>
                <w:sz w:val="18"/>
                <w:szCs w:val="18"/>
                <w14:textFill>
                  <w14:solidFill>
                    <w14:schemeClr w14:val="tx1"/>
                  </w14:solidFill>
                </w14:textFill>
              </w:rPr>
              <w:t>内容、功能、技术、生产、出版等总体框架的设计论证；功能、版权管理等技术验证；文本编辑完善；资源提供、审核、完善、标引、集成与封装；书号申领与发布。签订合同并提交合格稿件后，稿件及配套数字资源的完善、集成与出版在</w:t>
            </w:r>
            <w:r>
              <w:rPr>
                <w:rFonts w:hint="eastAsia" w:ascii="宋体" w:hAnsi="宋体" w:eastAsia="宋体" w:cs="宋体"/>
                <w:color w:val="000000" w:themeColor="text1"/>
                <w:kern w:val="0"/>
                <w:sz w:val="18"/>
                <w:szCs w:val="18"/>
                <w:lang w:val="en-US" w:eastAsia="zh-CN"/>
                <w14:textFill>
                  <w14:solidFill>
                    <w14:schemeClr w14:val="tx1"/>
                  </w14:solidFill>
                </w14:textFill>
              </w:rPr>
              <w:t>6</w:t>
            </w:r>
            <w:r>
              <w:rPr>
                <w:rFonts w:hint="eastAsia" w:ascii="宋体" w:hAnsi="宋体" w:eastAsia="宋体" w:cs="宋体"/>
                <w:color w:val="000000" w:themeColor="text1"/>
                <w:kern w:val="0"/>
                <w:sz w:val="18"/>
                <w:szCs w:val="18"/>
                <w14:textFill>
                  <w14:solidFill>
                    <w14:schemeClr w14:val="tx1"/>
                  </w14:solidFill>
                </w14:textFill>
              </w:rPr>
              <w:t>个月内完成，并保证教材质量符合国家对电子出版物的有关规定。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eastAsia" w:ascii="宋体" w:eastAsia="宋体" w:cs="宋体" w:hAnsiTheme="minorEastAsia"/>
                <w:b/>
                <w:bCs/>
                <w:sz w:val="18"/>
                <w:szCs w:val="18"/>
                <w:lang w:val="en-US" w:eastAsia="zh-CN"/>
              </w:rPr>
            </w:pPr>
            <w:r>
              <w:rPr>
                <w:rFonts w:hint="eastAsia" w:ascii="宋体" w:eastAsia="宋体" w:cs="宋体" w:hAnsiTheme="minorEastAsia"/>
                <w:b/>
                <w:bCs/>
                <w:sz w:val="18"/>
                <w:szCs w:val="18"/>
                <w:lang w:val="en-US" w:eastAsia="zh-CN"/>
              </w:rPr>
              <w:t>《大数据平台部署与运维》</w:t>
            </w:r>
          </w:p>
        </w:tc>
        <w:tc>
          <w:tcPr>
            <w:tcW w:w="125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default" w:ascii="宋体" w:eastAsia="宋体" w:cs="宋体" w:hAnsiTheme="minorEastAsia"/>
                <w:sz w:val="18"/>
                <w:szCs w:val="18"/>
                <w:lang w:val="en-US" w:eastAsia="zh-CN"/>
              </w:rPr>
            </w:pPr>
            <w:r>
              <w:rPr>
                <w:rFonts w:hint="eastAsia" w:ascii="宋体" w:eastAsia="宋体" w:cs="宋体" w:hAnsiTheme="minorEastAsia"/>
                <w:sz w:val="18"/>
                <w:szCs w:val="18"/>
                <w:lang w:val="en-US" w:eastAsia="zh-CN"/>
              </w:rPr>
              <w:t>纸质教材出版</w:t>
            </w:r>
          </w:p>
        </w:tc>
        <w:tc>
          <w:tcPr>
            <w:tcW w:w="123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default" w:ascii="宋体" w:eastAsia="宋体" w:cs="宋体" w:hAnsiTheme="minorEastAsia"/>
                <w:sz w:val="18"/>
                <w:szCs w:val="18"/>
                <w:lang w:val="en-US" w:eastAsia="zh-CN"/>
              </w:rPr>
            </w:pPr>
            <w:r>
              <w:rPr>
                <w:rFonts w:hint="eastAsia" w:ascii="宋体" w:eastAsia="宋体" w:cs="宋体" w:hAnsiTheme="minorEastAsia"/>
                <w:sz w:val="18"/>
                <w:szCs w:val="18"/>
                <w:lang w:val="en-US" w:eastAsia="zh-CN"/>
              </w:rPr>
              <w:t>1本</w:t>
            </w:r>
          </w:p>
        </w:tc>
        <w:tc>
          <w:tcPr>
            <w:tcW w:w="423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0" w:leftChars="0" w:right="0" w:rightChars="0" w:firstLine="0" w:firstLineChars="0"/>
              <w:jc w:val="left"/>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教材的集成与出版。包括</w:t>
            </w:r>
            <w:r>
              <w:rPr>
                <w:rFonts w:hint="eastAsia" w:ascii="宋体" w:hAnsi="宋体" w:eastAsia="宋体" w:cs="宋体"/>
                <w:color w:val="000000" w:themeColor="text1"/>
                <w:kern w:val="0"/>
                <w:sz w:val="18"/>
                <w:szCs w:val="18"/>
                <w:lang w:eastAsia="zh-CN"/>
                <w14:textFill>
                  <w14:solidFill>
                    <w14:schemeClr w14:val="tx1"/>
                  </w14:solidFill>
                </w14:textFill>
              </w:rPr>
              <w:t>教材出版</w:t>
            </w:r>
            <w:r>
              <w:rPr>
                <w:rFonts w:hint="eastAsia" w:ascii="宋体" w:hAnsi="宋体" w:eastAsia="宋体" w:cs="宋体"/>
                <w:color w:val="000000" w:themeColor="text1"/>
                <w:kern w:val="0"/>
                <w:sz w:val="18"/>
                <w:szCs w:val="18"/>
                <w14:textFill>
                  <w14:solidFill>
                    <w14:schemeClr w14:val="tx1"/>
                  </w14:solidFill>
                </w14:textFill>
              </w:rPr>
              <w:t>内容、功能、技术、生产、出版等总体框架的设计论证；功能、版权管理等技术验证；文本编辑完善；资源提供、审核、完善、标引、集成与封装；书号申领与发布。签订合同并提交合格稿件后，稿件及配套数字资源的完善、集成与出版在</w:t>
            </w:r>
            <w:r>
              <w:rPr>
                <w:rFonts w:hint="eastAsia" w:ascii="宋体" w:hAnsi="宋体" w:eastAsia="宋体" w:cs="宋体"/>
                <w:color w:val="000000" w:themeColor="text1"/>
                <w:kern w:val="0"/>
                <w:sz w:val="18"/>
                <w:szCs w:val="18"/>
                <w:lang w:val="en-US" w:eastAsia="zh-CN"/>
                <w14:textFill>
                  <w14:solidFill>
                    <w14:schemeClr w14:val="tx1"/>
                  </w14:solidFill>
                </w14:textFill>
              </w:rPr>
              <w:t>6</w:t>
            </w:r>
            <w:r>
              <w:rPr>
                <w:rFonts w:hint="eastAsia" w:ascii="宋体" w:hAnsi="宋体" w:eastAsia="宋体" w:cs="宋体"/>
                <w:color w:val="000000" w:themeColor="text1"/>
                <w:kern w:val="0"/>
                <w:sz w:val="18"/>
                <w:szCs w:val="18"/>
                <w14:textFill>
                  <w14:solidFill>
                    <w14:schemeClr w14:val="tx1"/>
                  </w14:solidFill>
                </w14:textFill>
              </w:rPr>
              <w:t>个月内完成，并保证教材质量符合国家对电子出版物的有关规定。</w:t>
            </w:r>
          </w:p>
        </w:tc>
      </w:tr>
    </w:tbl>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b/>
          <w:bCs/>
          <w:sz w:val="24"/>
        </w:rPr>
      </w:pPr>
    </w:p>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Theme="majorEastAsia" w:hAnsiTheme="majorEastAsia" w:eastAsiaTheme="majorEastAsia" w:cstheme="majorEastAsia"/>
          <w:sz w:val="24"/>
          <w:szCs w:val="24"/>
        </w:rPr>
      </w:pPr>
      <w:r>
        <w:rPr>
          <w:rFonts w:hint="eastAsia"/>
          <w:b/>
          <w:bCs/>
          <w:sz w:val="24"/>
        </w:rPr>
        <w:t>三</w:t>
      </w:r>
      <w:r>
        <w:rPr>
          <w:b/>
          <w:bCs/>
          <w:sz w:val="24"/>
        </w:rPr>
        <w:t>、</w:t>
      </w:r>
      <w:r>
        <w:rPr>
          <w:rFonts w:hint="eastAsia" w:asciiTheme="majorEastAsia" w:hAnsiTheme="majorEastAsia" w:eastAsiaTheme="majorEastAsia" w:cstheme="majorEastAsia"/>
          <w:sz w:val="24"/>
          <w:szCs w:val="24"/>
        </w:rPr>
        <w:t>精品在线课程资源开发服务</w:t>
      </w:r>
    </w:p>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ascii="宋体" w:hAnsi="宋体" w:eastAsia="宋体" w:cs="宋体"/>
          <w:sz w:val="21"/>
          <w:szCs w:val="21"/>
          <w:lang w:val="zh-CN"/>
        </w:rPr>
      </w:pPr>
      <w:r>
        <w:rPr>
          <w:rFonts w:hint="eastAsia" w:ascii="宋体" w:hAnsi="宋体" w:eastAsia="宋体" w:cs="宋体"/>
          <w:color w:val="000000"/>
          <w:sz w:val="21"/>
          <w:szCs w:val="21"/>
        </w:rPr>
        <w:t>1</w:t>
      </w:r>
      <w:r>
        <w:rPr>
          <w:rFonts w:hint="eastAsia" w:ascii="宋体" w:hAnsi="宋体" w:eastAsia="宋体" w:cs="宋体"/>
          <w:sz w:val="21"/>
          <w:szCs w:val="21"/>
        </w:rPr>
        <w:t>.</w:t>
      </w:r>
      <w:r>
        <w:rPr>
          <w:rFonts w:hint="eastAsia" w:ascii="宋体" w:hAnsi="宋体" w:eastAsia="宋体" w:cs="宋体"/>
          <w:sz w:val="21"/>
          <w:szCs w:val="21"/>
          <w:lang w:val="zh-CN"/>
        </w:rPr>
        <w:t>视频图像质量要求</w:t>
      </w:r>
    </w:p>
    <w:tbl>
      <w:tblPr>
        <w:tblStyle w:val="11"/>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7" w:type="dxa"/>
          <w:left w:w="2" w:type="dxa"/>
          <w:bottom w:w="0" w:type="dxa"/>
          <w:right w:w="14" w:type="dxa"/>
        </w:tblCellMar>
      </w:tblPr>
      <w:tblGrid>
        <w:gridCol w:w="1232"/>
        <w:gridCol w:w="7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2" w:type="dxa"/>
            <w:bottom w:w="0" w:type="dxa"/>
            <w:right w:w="14" w:type="dxa"/>
          </w:tblCellMar>
        </w:tblPrEx>
        <w:trPr>
          <w:trHeight w:val="334" w:hRule="atLeast"/>
        </w:trPr>
        <w:tc>
          <w:tcPr>
            <w:tcW w:w="740" w:type="pct"/>
            <w:shd w:val="clear" w:color="auto" w:fill="FFFFFF"/>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软件版本</w:t>
            </w:r>
          </w:p>
        </w:tc>
        <w:tc>
          <w:tcPr>
            <w:tcW w:w="4259"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文件制作所用的系统版本不低于windows XP；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2" w:type="dxa"/>
            <w:bottom w:w="0" w:type="dxa"/>
            <w:right w:w="14" w:type="dxa"/>
          </w:tblCellMar>
        </w:tblPrEx>
        <w:trPr>
          <w:trHeight w:val="334" w:hRule="atLeast"/>
        </w:trPr>
        <w:tc>
          <w:tcPr>
            <w:tcW w:w="740" w:type="pct"/>
            <w:shd w:val="clear" w:color="auto" w:fill="FFFFFF"/>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文件格式</w:t>
            </w:r>
          </w:p>
        </w:tc>
        <w:tc>
          <w:tcPr>
            <w:tcW w:w="4259"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采用WMV或MP4格式，录制时内部如果有图片及其他音视频文件则在后期编辑时直接导入，以保证清晰度和视频的完整度；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2" w:type="dxa"/>
            <w:bottom w:w="0" w:type="dxa"/>
            <w:right w:w="14" w:type="dxa"/>
          </w:tblCellMar>
        </w:tblPrEx>
        <w:trPr>
          <w:trHeight w:val="334" w:hRule="atLeast"/>
        </w:trPr>
        <w:tc>
          <w:tcPr>
            <w:tcW w:w="740" w:type="pct"/>
            <w:vMerge w:val="restart"/>
            <w:shd w:val="clear" w:color="auto" w:fill="FFFFFF"/>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设计要求</w:t>
            </w:r>
          </w:p>
        </w:tc>
        <w:tc>
          <w:tcPr>
            <w:tcW w:w="4259"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教学录像按教学单元录制；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2" w:type="dxa"/>
            <w:bottom w:w="0" w:type="dxa"/>
            <w:right w:w="14" w:type="dxa"/>
          </w:tblCellMar>
        </w:tblPrEx>
        <w:trPr>
          <w:trHeight w:val="334" w:hRule="atLeast"/>
        </w:trPr>
        <w:tc>
          <w:tcPr>
            <w:tcW w:w="740" w:type="pct"/>
            <w:vMerge w:val="continue"/>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p>
        </w:tc>
        <w:tc>
          <w:tcPr>
            <w:tcW w:w="4259"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录像环境光线充足、安静，教师衣着得体，讲话清晰，板书清楚；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2" w:type="dxa"/>
            <w:bottom w:w="0" w:type="dxa"/>
            <w:right w:w="14" w:type="dxa"/>
          </w:tblCellMar>
        </w:tblPrEx>
        <w:trPr>
          <w:trHeight w:val="1843" w:hRule="atLeast"/>
        </w:trPr>
        <w:tc>
          <w:tcPr>
            <w:tcW w:w="740" w:type="pct"/>
            <w:vMerge w:val="continue"/>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p>
        </w:tc>
        <w:tc>
          <w:tcPr>
            <w:tcW w:w="4259"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为保证成片画面质量，成交供应商需确保采用影视级专业设备进行视频拍摄，具体技术参数参照如下：视频压缩采用H.264(MPEG-4 Part10：profile=main, level=3.0)编码方式，码流率256 Kbps以上，帧率不低于25 fps，分辨率不低于720×576（4:3）或1024×576（16:9）；统一拍摄格式 1080 mp4 25p （如无特殊镜头不要生升格）；多机位拍摄要统一色温；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2" w:type="dxa"/>
            <w:bottom w:w="0" w:type="dxa"/>
            <w:right w:w="14" w:type="dxa"/>
          </w:tblCellMar>
        </w:tblPrEx>
        <w:trPr>
          <w:trHeight w:val="334" w:hRule="atLeast"/>
        </w:trPr>
        <w:tc>
          <w:tcPr>
            <w:tcW w:w="740" w:type="pct"/>
            <w:vMerge w:val="continue"/>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p>
        </w:tc>
        <w:tc>
          <w:tcPr>
            <w:tcW w:w="4259"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声音和画面要求同步，无交流声或其他杂音等缺陷，无明显失真、放音过冲、过弱。伴音清晰、饱满、圆润，无失真、噪声杂音干扰、音量忽大忽小现象。解说声与现场声、背景音乐无明显比例失调。音频信噪比不低于48 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2" w:type="dxa"/>
            <w:bottom w:w="0" w:type="dxa"/>
            <w:right w:w="14" w:type="dxa"/>
          </w:tblCellMar>
        </w:tblPrEx>
        <w:trPr>
          <w:trHeight w:val="334" w:hRule="atLeast"/>
        </w:trPr>
        <w:tc>
          <w:tcPr>
            <w:tcW w:w="740" w:type="pct"/>
            <w:vMerge w:val="continue"/>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p>
        </w:tc>
        <w:tc>
          <w:tcPr>
            <w:tcW w:w="4259"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字幕要使用符合国家标准的规范字，不出现繁体字、异体字(国家规定的除外)、错别字；字幕的字体、大小、色彩搭配、摆放位置、停留时间、出入屏方式力求与其他要素（画面、解说词、音乐）配合适当，不能破坏原有画面； </w:t>
            </w:r>
          </w:p>
        </w:tc>
      </w:tr>
    </w:tbl>
    <w:p>
      <w:pPr>
        <w:pStyle w:val="5"/>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21"/>
          <w:szCs w:val="21"/>
          <w:lang w:val="zh-CN"/>
        </w:rPr>
      </w:pPr>
      <w:r>
        <w:rPr>
          <w:rFonts w:hint="eastAsia" w:ascii="宋体" w:hAnsi="宋体" w:eastAsia="宋体" w:cs="宋体"/>
          <w:color w:val="000000"/>
          <w:sz w:val="21"/>
          <w:szCs w:val="21"/>
        </w:rPr>
        <w:t>2</w:t>
      </w:r>
      <w:r>
        <w:rPr>
          <w:rFonts w:hint="eastAsia" w:ascii="宋体" w:hAnsi="宋体" w:eastAsia="宋体" w:cs="宋体"/>
          <w:sz w:val="21"/>
          <w:szCs w:val="21"/>
        </w:rPr>
        <w:t>.</w:t>
      </w:r>
      <w:r>
        <w:rPr>
          <w:rFonts w:hint="eastAsia" w:ascii="宋体" w:hAnsi="宋体" w:eastAsia="宋体" w:cs="宋体"/>
          <w:sz w:val="21"/>
          <w:szCs w:val="21"/>
          <w:lang w:val="zh-CN"/>
        </w:rPr>
        <w:t>PPT演示文稿类素材技术要求</w:t>
      </w:r>
    </w:p>
    <w:tbl>
      <w:tblPr>
        <w:tblStyle w:val="11"/>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7" w:type="dxa"/>
          <w:left w:w="7" w:type="dxa"/>
          <w:bottom w:w="0" w:type="dxa"/>
          <w:right w:w="0" w:type="dxa"/>
        </w:tblCellMar>
      </w:tblPr>
      <w:tblGrid>
        <w:gridCol w:w="1429"/>
        <w:gridCol w:w="6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65" w:hRule="atLeast"/>
        </w:trPr>
        <w:tc>
          <w:tcPr>
            <w:tcW w:w="858" w:type="pct"/>
            <w:shd w:val="clear" w:color="auto" w:fill="FFFFFF"/>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软件版本</w:t>
            </w:r>
          </w:p>
        </w:tc>
        <w:tc>
          <w:tcPr>
            <w:tcW w:w="414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文件制作所用的软件版本不低于Microsoft Office 2010或wps2016；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90" w:hRule="atLeast"/>
        </w:trPr>
        <w:tc>
          <w:tcPr>
            <w:tcW w:w="858" w:type="pct"/>
            <w:shd w:val="clear" w:color="auto" w:fill="FFFFFF"/>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文件格式</w:t>
            </w:r>
          </w:p>
        </w:tc>
        <w:tc>
          <w:tcPr>
            <w:tcW w:w="414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采用PPT或PPTX格式，不要使用PPS格式。如果有内嵌音频、视频或动画，则应在相应目录单独提供一份未嵌入的文件。同时提供关于最佳播放效果的软件版本说明；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trPr>
        <w:tc>
          <w:tcPr>
            <w:tcW w:w="858" w:type="pct"/>
            <w:vMerge w:val="restart"/>
            <w:shd w:val="clear" w:color="auto" w:fill="FFFFFF"/>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模板应用</w:t>
            </w:r>
          </w:p>
        </w:tc>
        <w:tc>
          <w:tcPr>
            <w:tcW w:w="414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模板朴素、大方，颜色适宜，便于长时间观看；在模板的适当位置标明课程名称、模块（章或节）序号与模块（章或节）的名称；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trPr>
        <w:tc>
          <w:tcPr>
            <w:tcW w:w="858" w:type="pct"/>
            <w:vMerge w:val="continue"/>
            <w:shd w:val="clear" w:color="auto" w:fill="FFFFFF"/>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p>
        </w:tc>
        <w:tc>
          <w:tcPr>
            <w:tcW w:w="414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多个页面均有的相同元素，如背景、按钮、标题、页码等，可以使用幻灯片母版来实现；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trPr>
        <w:tc>
          <w:tcPr>
            <w:tcW w:w="858" w:type="pct"/>
            <w:vMerge w:val="restart"/>
            <w:shd w:val="clear" w:color="auto" w:fill="FFFFFF"/>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版式设计</w:t>
            </w:r>
          </w:p>
        </w:tc>
        <w:tc>
          <w:tcPr>
            <w:tcW w:w="414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每页版面的字数不宜太多。正文字号应不小于24磅字，使用Windows系统默认字体，不要使用仿宋、细圆等过细字体，不使用特殊字体，如有特殊字体需要应转化为图形文件；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trPr>
        <w:tc>
          <w:tcPr>
            <w:tcW w:w="858" w:type="pct"/>
            <w:vMerge w:val="continue"/>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p>
        </w:tc>
        <w:tc>
          <w:tcPr>
            <w:tcW w:w="414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文字要醒目，避免使用与背景色相近的字体颜色；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trPr>
        <w:tc>
          <w:tcPr>
            <w:tcW w:w="858" w:type="pct"/>
            <w:vMerge w:val="continue"/>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p>
        </w:tc>
        <w:tc>
          <w:tcPr>
            <w:tcW w:w="414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页面行距建议为1.2倍，可适当增大，左右边距均匀、适当；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trPr>
        <w:tc>
          <w:tcPr>
            <w:tcW w:w="858" w:type="pct"/>
            <w:vMerge w:val="continue"/>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p>
        </w:tc>
        <w:tc>
          <w:tcPr>
            <w:tcW w:w="414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页面设计的原则是版面内容的分布美观大方；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trPr>
        <w:tc>
          <w:tcPr>
            <w:tcW w:w="858" w:type="pct"/>
            <w:vMerge w:val="continue"/>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p>
        </w:tc>
        <w:tc>
          <w:tcPr>
            <w:tcW w:w="414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恰当使用组合：某些插图中位置相对固定的文本框、数学公式以及图片等应采用组合方式，避免产生相对位移；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trPr>
        <w:tc>
          <w:tcPr>
            <w:tcW w:w="858" w:type="pct"/>
            <w:vMerge w:val="continue"/>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p>
        </w:tc>
        <w:tc>
          <w:tcPr>
            <w:tcW w:w="414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尽量避免不必要的组合，不同对象、文本的动作需要同时出现时，可确定彼此之间的时间间隔为0秒；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trPr>
        <w:tc>
          <w:tcPr>
            <w:tcW w:w="858" w:type="pct"/>
            <w:vMerge w:val="continue"/>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p>
        </w:tc>
        <w:tc>
          <w:tcPr>
            <w:tcW w:w="414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各级标题采用不同的字体和颜色，一张幻灯片上文字颜色限定在4种以内，注意文字与背景色的反差。</w:t>
            </w:r>
          </w:p>
        </w:tc>
      </w:tr>
    </w:tbl>
    <w:p>
      <w:pPr>
        <w:pStyle w:val="5"/>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21"/>
          <w:szCs w:val="21"/>
          <w:lang w:val="zh-CN"/>
        </w:rPr>
      </w:pPr>
      <w:r>
        <w:rPr>
          <w:rFonts w:hint="eastAsia" w:ascii="宋体" w:hAnsi="宋体" w:eastAsia="宋体" w:cs="宋体"/>
          <w:color w:val="000000"/>
          <w:sz w:val="21"/>
          <w:szCs w:val="21"/>
        </w:rPr>
        <w:t>3</w:t>
      </w:r>
      <w:r>
        <w:rPr>
          <w:rFonts w:hint="eastAsia" w:ascii="宋体" w:hAnsi="宋体" w:eastAsia="宋体" w:cs="宋体"/>
          <w:sz w:val="21"/>
          <w:szCs w:val="21"/>
        </w:rPr>
        <w:t>.</w:t>
      </w:r>
      <w:r>
        <w:rPr>
          <w:rFonts w:hint="eastAsia" w:ascii="宋体" w:hAnsi="宋体" w:eastAsia="宋体" w:cs="宋体"/>
          <w:sz w:val="21"/>
          <w:szCs w:val="21"/>
          <w:lang w:val="zh-CN"/>
        </w:rPr>
        <w:t>二维动画应用资源需求</w:t>
      </w:r>
    </w:p>
    <w:tbl>
      <w:tblPr>
        <w:tblStyle w:val="11"/>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7" w:type="dxa"/>
          <w:left w:w="2" w:type="dxa"/>
          <w:bottom w:w="0" w:type="dxa"/>
          <w:right w:w="15" w:type="dxa"/>
        </w:tblCellMar>
      </w:tblPr>
      <w:tblGrid>
        <w:gridCol w:w="1396"/>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2" w:type="dxa"/>
            <w:bottom w:w="0" w:type="dxa"/>
            <w:right w:w="15" w:type="dxa"/>
          </w:tblCellMar>
        </w:tblPrEx>
        <w:trPr>
          <w:trHeight w:val="334" w:hRule="atLeast"/>
        </w:trPr>
        <w:tc>
          <w:tcPr>
            <w:tcW w:w="838" w:type="pct"/>
            <w:shd w:val="clear" w:color="auto" w:fill="FFFFFF"/>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文件格式</w:t>
            </w:r>
          </w:p>
        </w:tc>
        <w:tc>
          <w:tcPr>
            <w:tcW w:w="416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扩展名：*.mp4\*.swf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2" w:type="dxa"/>
            <w:bottom w:w="0" w:type="dxa"/>
            <w:right w:w="15" w:type="dxa"/>
          </w:tblCellMar>
        </w:tblPrEx>
        <w:trPr>
          <w:trHeight w:val="334" w:hRule="atLeast"/>
        </w:trPr>
        <w:tc>
          <w:tcPr>
            <w:tcW w:w="838" w:type="pct"/>
            <w:shd w:val="clear" w:color="auto" w:fill="FFFFFF"/>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软件版本</w:t>
            </w:r>
          </w:p>
        </w:tc>
        <w:tc>
          <w:tcPr>
            <w:tcW w:w="416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Flash cs8.0及以上版本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2" w:type="dxa"/>
            <w:bottom w:w="0" w:type="dxa"/>
            <w:right w:w="15" w:type="dxa"/>
          </w:tblCellMar>
        </w:tblPrEx>
        <w:trPr>
          <w:trHeight w:val="334" w:hRule="atLeast"/>
        </w:trPr>
        <w:tc>
          <w:tcPr>
            <w:tcW w:w="838" w:type="pct"/>
            <w:shd w:val="clear" w:color="auto" w:fill="FFFFFF"/>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技术要求</w:t>
            </w:r>
          </w:p>
        </w:tc>
        <w:tc>
          <w:tcPr>
            <w:tcW w:w="416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（1）动画的开始要有醒目的标题，标题能够体现动画所表现的内容；</w:t>
            </w:r>
          </w:p>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（2）动画中如果有文字，文字要醒目，文字的字体、字号与内容协调，字体颜色避免与背景相近；</w:t>
            </w:r>
          </w:p>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（3）动画色彩造型应和谐，画面简洁清晰，界面友好，交互设计合理，操作简单；</w:t>
            </w:r>
          </w:p>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（4）动画连续，节奏合适，帧和帧之间的关联性要强；</w:t>
            </w:r>
          </w:p>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（5）解说配音应标准，无噪音，声音悦耳，音量适当，快慢适度，并提供控制解说的开关；</w:t>
            </w:r>
          </w:p>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（6）动画背景音乐音量不宜过大，音乐与内容相符，并提供控制开关；</w:t>
            </w:r>
          </w:p>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（7）动画演播过程要流畅，静止画面时间不超过5秒钟；</w:t>
            </w:r>
          </w:p>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（8）交互动画应设置暂停和播放控制按钮，当动画时间较长时，应设置进度拖动条；</w:t>
            </w:r>
          </w:p>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（9）动画内容符合我国法律法规，尊重各民族的风俗习惯，版权不存在争议；</w:t>
            </w:r>
          </w:p>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（10）若其中包含少数民族或外国语言文字信息，应遵循其原内容完整性，使用原语言进行处理；</w:t>
            </w:r>
          </w:p>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（12）存储方式：交互动画采用swf（ActionScript3.0）或HTML存储方式；其他动画保存FLV动画原件</w:t>
            </w:r>
            <w:r>
              <w:rPr>
                <w:rFonts w:hint="eastAsia" w:ascii="宋体" w:hAnsi="宋体" w:cs="宋体"/>
                <w:color w:val="000000" w:themeColor="text1"/>
                <w14:textFill>
                  <w14:solidFill>
                    <w14:schemeClr w14:val="tx1"/>
                  </w14:solidFill>
                </w14:textFill>
              </w:rPr>
              <w:br w:type="textWrapping"/>
            </w:r>
            <w:r>
              <w:rPr>
                <w:rFonts w:hint="eastAsia" w:ascii="宋体" w:hAnsi="宋体" w:cs="宋体"/>
                <w:color w:val="000000" w:themeColor="text1"/>
                <w14:textFill>
                  <w14:solidFill>
                    <w14:schemeClr w14:val="tx1"/>
                  </w14:solidFill>
                </w14:textFill>
              </w:rPr>
              <w:t>（13）压缩方式:H264，视频格式mp4，帧率25，码率不低于1500。分辨率1920*1080，16：9；</w:t>
            </w:r>
          </w:p>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（14）配进度控制条；</w:t>
            </w:r>
          </w:p>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（15）配解释、语音、字幕，字幕字体“微软雅黑20号”，不能出现标点符号，特殊地方需要引号或者书名号，标点用半角空格。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2" w:type="dxa"/>
            <w:bottom w:w="0" w:type="dxa"/>
            <w:right w:w="15" w:type="dxa"/>
          </w:tblCellMar>
        </w:tblPrEx>
        <w:trPr>
          <w:trHeight w:val="1040" w:hRule="atLeast"/>
        </w:trPr>
        <w:tc>
          <w:tcPr>
            <w:tcW w:w="838" w:type="pct"/>
            <w:shd w:val="clear" w:color="auto" w:fill="FFFFFF"/>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内容要求</w:t>
            </w:r>
          </w:p>
        </w:tc>
        <w:tc>
          <w:tcPr>
            <w:tcW w:w="4161"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根据老师选定的知识点设计与制作，并满足前期与老师沟通后编写的动画设计脚本，讲解清晰，具体按照动画技术要点执行。</w:t>
            </w:r>
          </w:p>
        </w:tc>
      </w:tr>
    </w:tbl>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b/>
          <w:color w:val="000000"/>
          <w:szCs w:val="21"/>
        </w:rPr>
        <w:t>4</w:t>
      </w:r>
      <w:r>
        <w:rPr>
          <w:rFonts w:hint="eastAsia" w:ascii="宋体" w:hAnsi="宋体" w:cs="宋体"/>
          <w:b/>
          <w:szCs w:val="21"/>
        </w:rPr>
        <w:t>.</w:t>
      </w:r>
      <w:r>
        <w:rPr>
          <w:rFonts w:hint="eastAsia" w:ascii="宋体" w:hAnsi="宋体" w:cs="宋体"/>
          <w:b/>
          <w:szCs w:val="21"/>
          <w:lang w:val="zh-CN"/>
        </w:rPr>
        <w:t>图形/图像类素材技术要求</w:t>
      </w:r>
    </w:p>
    <w:tbl>
      <w:tblPr>
        <w:tblStyle w:val="11"/>
        <w:tblW w:w="4940" w:type="pc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4" w:type="dxa"/>
          <w:left w:w="108" w:type="dxa"/>
          <w:bottom w:w="0" w:type="dxa"/>
          <w:right w:w="36" w:type="dxa"/>
        </w:tblCellMar>
      </w:tblPr>
      <w:tblGrid>
        <w:gridCol w:w="1269"/>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36" w:type="dxa"/>
          </w:tblCellMar>
        </w:tblPrEx>
        <w:trPr>
          <w:trHeight w:val="90" w:hRule="atLeast"/>
        </w:trPr>
        <w:tc>
          <w:tcPr>
            <w:tcW w:w="760" w:type="pct"/>
            <w:vMerge w:val="restart"/>
            <w:shd w:val="clear" w:color="auto" w:fill="FFFFFF"/>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色彩</w:t>
            </w:r>
          </w:p>
        </w:tc>
        <w:tc>
          <w:tcPr>
            <w:tcW w:w="4239"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彩色图像颜色数不低于真彩（24 位色），灰度图像的灰度级不低于256 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36" w:type="dxa"/>
          </w:tblCellMar>
        </w:tblPrEx>
        <w:trPr>
          <w:trHeight w:val="334" w:hRule="atLeast"/>
        </w:trPr>
        <w:tc>
          <w:tcPr>
            <w:tcW w:w="760" w:type="pct"/>
            <w:vMerge w:val="continue"/>
            <w:shd w:val="clear" w:color="auto" w:fill="FFFFFF"/>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p>
        </w:tc>
        <w:tc>
          <w:tcPr>
            <w:tcW w:w="4239"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图形可以为单色；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36" w:type="dxa"/>
          </w:tblCellMar>
        </w:tblPrEx>
        <w:trPr>
          <w:trHeight w:val="334" w:hRule="atLeast"/>
        </w:trPr>
        <w:tc>
          <w:tcPr>
            <w:tcW w:w="760" w:type="pct"/>
            <w:shd w:val="clear" w:color="auto" w:fill="FFFFFF"/>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分辨率</w:t>
            </w:r>
          </w:p>
        </w:tc>
        <w:tc>
          <w:tcPr>
            <w:tcW w:w="4239"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屏幕分辨率不低于1024×768 时，扫描图像的扫描分辨率不低于72dpi，彩色扫描图像的扫描分辨率不低于150dpi；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36" w:type="dxa"/>
          </w:tblCellMar>
        </w:tblPrEx>
        <w:trPr>
          <w:trHeight w:val="334" w:hRule="atLeast"/>
        </w:trPr>
        <w:tc>
          <w:tcPr>
            <w:tcW w:w="760" w:type="pct"/>
            <w:vMerge w:val="restart"/>
            <w:shd w:val="clear" w:color="auto" w:fill="FFFFFF"/>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清晰度</w:t>
            </w:r>
          </w:p>
        </w:tc>
        <w:tc>
          <w:tcPr>
            <w:tcW w:w="4239"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图像内容清晰可辨识，不需要借助额外的设备即可辨认图片资源所需要表达的主体内容；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36" w:type="dxa"/>
          </w:tblCellMar>
        </w:tblPrEx>
        <w:trPr>
          <w:trHeight w:val="90" w:hRule="atLeast"/>
        </w:trPr>
        <w:tc>
          <w:tcPr>
            <w:tcW w:w="760" w:type="pct"/>
            <w:vMerge w:val="continue"/>
            <w:shd w:val="clear" w:color="auto" w:fill="FFFFFF"/>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p>
        </w:tc>
        <w:tc>
          <w:tcPr>
            <w:tcW w:w="4239"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所有图像扫描后，需要使用Photo shop 或其他图像处理软件进行裁剪、校色、去污、纠偏等处理，使页面整洁、清晰；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36" w:type="dxa"/>
          </w:tblCellMar>
        </w:tblPrEx>
        <w:trPr>
          <w:trHeight w:val="334" w:hRule="atLeast"/>
        </w:trPr>
        <w:tc>
          <w:tcPr>
            <w:tcW w:w="760" w:type="pct"/>
            <w:shd w:val="clear" w:color="auto" w:fill="FFFFFF"/>
          </w:tcPr>
          <w:p>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内容</w:t>
            </w:r>
          </w:p>
        </w:tc>
        <w:tc>
          <w:tcPr>
            <w:tcW w:w="4239" w:type="pct"/>
            <w:shd w:val="clear" w:color="auto" w:fill="FFFFFF"/>
          </w:tcPr>
          <w:p>
            <w:pPr>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图形/图像内容符合我国法律法规，尊重各民族的风俗习惯，版权不存在争议。 </w:t>
            </w:r>
          </w:p>
        </w:tc>
      </w:tr>
    </w:tbl>
    <w:p>
      <w:pPr>
        <w:pStyle w:val="5"/>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val="0"/>
          <w:color w:val="000000"/>
          <w:sz w:val="24"/>
          <w:szCs w:val="24"/>
        </w:rPr>
      </w:pPr>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宋体" w:hAnsi="宋体" w:eastAsia="宋体" w:cs="宋体"/>
          <w:b/>
          <w:bCs w:val="0"/>
          <w:color w:val="000000"/>
          <w:sz w:val="24"/>
          <w:szCs w:val="24"/>
        </w:rPr>
      </w:pPr>
      <w:r>
        <w:rPr>
          <w:rFonts w:hint="eastAsia" w:ascii="宋体" w:hAnsi="宋体" w:eastAsia="宋体" w:cs="宋体"/>
          <w:b/>
          <w:bCs w:val="0"/>
          <w:color w:val="000000"/>
          <w:sz w:val="24"/>
          <w:szCs w:val="24"/>
        </w:rPr>
        <w:t>2、</w:t>
      </w:r>
      <w:r>
        <w:rPr>
          <w:rFonts w:hint="eastAsia" w:ascii="宋体" w:hAnsi="宋体" w:eastAsia="宋体" w:cs="宋体"/>
          <w:b/>
          <w:bCs w:val="0"/>
          <w:color w:val="000000"/>
          <w:sz w:val="24"/>
          <w:szCs w:val="24"/>
          <w:lang w:val="en-US" w:eastAsia="zh-CN"/>
        </w:rPr>
        <w:t>课程资源制作</w:t>
      </w:r>
      <w:r>
        <w:rPr>
          <w:rFonts w:hint="eastAsia" w:ascii="宋体" w:hAnsi="宋体" w:eastAsia="宋体" w:cs="宋体"/>
          <w:b/>
          <w:bCs w:val="0"/>
          <w:color w:val="000000"/>
          <w:sz w:val="24"/>
          <w:szCs w:val="24"/>
        </w:rPr>
        <w:t>要求</w:t>
      </w:r>
    </w:p>
    <w:p>
      <w:pPr>
        <w:pStyle w:val="5"/>
        <w:pageBreakBefore w:val="0"/>
        <w:widowControl w:val="0"/>
        <w:kinsoku/>
        <w:wordWrap/>
        <w:overflowPunct/>
        <w:topLinePunct w:val="0"/>
        <w:autoSpaceDE/>
        <w:autoSpaceDN/>
        <w:bidi w:val="0"/>
        <w:adjustRightInd/>
        <w:snapToGrid/>
        <w:spacing w:before="0" w:after="0" w:line="240" w:lineRule="auto"/>
        <w:textAlignment w:val="auto"/>
        <w:rPr>
          <w:sz w:val="21"/>
          <w:szCs w:val="21"/>
        </w:rPr>
      </w:pPr>
      <w:r>
        <w:rPr>
          <w:rFonts w:hint="eastAsia"/>
          <w:sz w:val="21"/>
          <w:szCs w:val="21"/>
          <w:lang w:val="en-US" w:eastAsia="zh-CN"/>
        </w:rPr>
        <w:t>1</w:t>
      </w:r>
      <w:r>
        <w:rPr>
          <w:rFonts w:hint="eastAsia"/>
          <w:sz w:val="21"/>
          <w:szCs w:val="21"/>
        </w:rPr>
        <w:t>.录制要求：</w:t>
      </w:r>
    </w:p>
    <w:p>
      <w:pPr>
        <w:pStyle w:val="26"/>
        <w:pageBreakBefore w:val="0"/>
        <w:widowControl w:val="0"/>
        <w:kinsoku/>
        <w:wordWrap/>
        <w:overflowPunct/>
        <w:topLinePunct w:val="0"/>
        <w:autoSpaceDE/>
        <w:autoSpaceDN/>
        <w:bidi w:val="0"/>
        <w:adjustRightInd/>
        <w:snapToGrid/>
        <w:spacing w:line="240" w:lineRule="auto"/>
        <w:ind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课堂实录视频须采用单机方式全程连续录制，不允许另行剪辑及配音、不加片头片尾、字幕注解，不泄露地区、学校名称。视频帧率不低于 25 帧/秒，配备专业录音设备。 </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视频录制软件不限，采用 H.264/AVC（MPEG-4 Part10）编码格式压缩；动态码流的码率不低于 1024Kbps，不超过 1280Kbps；分辨率设定不低于 1920×1080（高清 16:9 拍摄）；采用逐行扫描（帧率 25 帧/秒）。音频采用 AAC（MPEG4 Part3）格式压缩；采样率不低于 48KHz；码流 128Kbps（恒定）。 </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在拍摄时应针对实际情况选择适当的拍摄方式与后期制作统筹策划，与参赛团队应保持信息畅通，确保成片中的多媒体演示及板书完整、清晰，符合大赛要求。 </w:t>
      </w:r>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2</w:t>
      </w:r>
      <w:r>
        <w:rPr>
          <w:rFonts w:hint="eastAsia" w:ascii="宋体" w:hAnsi="宋体" w:eastAsia="宋体" w:cs="宋体"/>
          <w:color w:val="000000"/>
          <w:sz w:val="21"/>
          <w:szCs w:val="21"/>
          <w:lang w:bidi="ar"/>
        </w:rPr>
        <w:t xml:space="preserve">.后期制作： </w:t>
      </w:r>
    </w:p>
    <w:p>
      <w:pPr>
        <w:pStyle w:val="26"/>
        <w:pageBreakBefore w:val="0"/>
        <w:widowControl w:val="0"/>
        <w:kinsoku/>
        <w:wordWrap/>
        <w:overflowPunct/>
        <w:topLinePunct w:val="0"/>
        <w:autoSpaceDE/>
        <w:autoSpaceDN/>
        <w:bidi w:val="0"/>
        <w:adjustRightInd/>
        <w:snapToGrid/>
        <w:spacing w:line="240" w:lineRule="auto"/>
        <w:ind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使用专业的非线性编辑系统对源音视频进行最基本的处理（如抠像、颜色校正、双声道处理）。专业的视频编辑系统进行视频降噪、音频降噪，以保证满足教育部对视频画面的严格要求。具体技术指标要求如下： </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（1）视频信号源 </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稳定性：全片图像同步性能稳定，无失步现象，CTL 同步控制信号连续；图像无抖动跳跃，色彩无突变，编辑点处图像稳定。 </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信噪比：图像信噪比不低于 55dB，无明显杂波。 </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色调：白平衡正确，无明显偏色，多机拍摄的镜头衔接处无明显色差。 </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（2）音频信号源 </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声道：中文内容音频信号记录于第 1 声道，音乐、音效、同期声记录于第 2 声道，</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若有其他文字解说记录于第 3 声道（如录音设备无第 3 声道，则录于第 2 声道）。电平指标：-2db — -8db 声音应无明显失真、放音过冲、过弱。 </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音频信噪比不低于 48db。 </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声音和画面要求同步，无交流声或其他杂音等缺陷。 </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伴音清晰、饱满、圆润，无失真、噪声杂音干扰、音量忽大忽小现象。解说声与现场声无明显比例失调，解说声与背景音乐无明显比例失调。 </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kern w:val="0"/>
          <w:szCs w:val="21"/>
          <w:lang w:bidi="ar"/>
        </w:rPr>
      </w:pPr>
      <w:r>
        <w:rPr>
          <w:rFonts w:hint="eastAsia" w:ascii="宋体" w:hAnsi="宋体" w:cs="宋体"/>
          <w:color w:val="000000"/>
          <w:kern w:val="0"/>
          <w:szCs w:val="21"/>
          <w:lang w:bidi="ar"/>
        </w:rPr>
        <w:t xml:space="preserve">（3）视、音频交付文件 </w:t>
      </w:r>
    </w:p>
    <w:p>
      <w:pPr>
        <w:pStyle w:val="26"/>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ascii="宋体" w:hAnsi="宋体" w:cs="宋体"/>
          <w:color w:val="000000"/>
          <w:kern w:val="0"/>
          <w:szCs w:val="21"/>
          <w:lang w:bidi="ar"/>
        </w:rPr>
        <w:t>采用MP4格式封装，每个文件大小不超过200M。</w:t>
      </w:r>
    </w:p>
    <w:p>
      <w:pPr>
        <w:pStyle w:val="4"/>
        <w:pageBreakBefore w:val="0"/>
        <w:kinsoku/>
        <w:wordWrap/>
        <w:overflowPunct/>
        <w:topLinePunct w:val="0"/>
        <w:bidi w:val="0"/>
        <w:spacing w:before="0" w:after="0" w:line="240" w:lineRule="auto"/>
        <w:textAlignment w:val="auto"/>
        <w:rPr>
          <w:rFonts w:hint="eastAsia" w:ascii="宋体" w:hAnsi="宋体"/>
          <w:sz w:val="24"/>
          <w:szCs w:val="28"/>
          <w:lang w:eastAsia="zh-Hans"/>
        </w:rPr>
      </w:pPr>
    </w:p>
    <w:p>
      <w:pPr>
        <w:pStyle w:val="4"/>
        <w:pageBreakBefore w:val="0"/>
        <w:kinsoku/>
        <w:wordWrap/>
        <w:overflowPunct/>
        <w:topLinePunct w:val="0"/>
        <w:bidi w:val="0"/>
        <w:spacing w:before="0" w:after="0" w:line="240" w:lineRule="auto"/>
        <w:textAlignment w:val="auto"/>
        <w:rPr>
          <w:rFonts w:ascii="宋体" w:hAnsi="宋体" w:cs="宋体"/>
          <w:sz w:val="21"/>
          <w:szCs w:val="21"/>
          <w:lang w:val="zh-CN"/>
        </w:rPr>
      </w:pPr>
      <w:r>
        <w:rPr>
          <w:rFonts w:hint="eastAsia" w:ascii="宋体" w:hAnsi="宋体"/>
          <w:sz w:val="24"/>
          <w:szCs w:val="28"/>
          <w:lang w:eastAsia="zh-Hans"/>
        </w:rPr>
        <w:t>▲</w:t>
      </w:r>
      <w:r>
        <w:rPr>
          <w:rFonts w:hint="eastAsia" w:ascii="宋体" w:hAnsi="宋体"/>
          <w:sz w:val="24"/>
          <w:szCs w:val="28"/>
          <w:lang w:val="en-US" w:eastAsia="zh-CN"/>
        </w:rPr>
        <w:t>3</w:t>
      </w:r>
      <w:r>
        <w:rPr>
          <w:rFonts w:hint="eastAsia" w:ascii="宋体" w:hAnsi="宋体" w:cs="宋体"/>
          <w:sz w:val="21"/>
          <w:szCs w:val="21"/>
        </w:rPr>
        <w:t>、</w:t>
      </w:r>
      <w:r>
        <w:rPr>
          <w:rFonts w:hint="eastAsia" w:ascii="宋体" w:hAnsi="宋体" w:cs="宋体"/>
          <w:sz w:val="21"/>
          <w:szCs w:val="21"/>
          <w:lang w:val="zh-CN"/>
        </w:rPr>
        <w:t xml:space="preserve">课程制作支撑技术及设备配置要求 </w:t>
      </w:r>
    </w:p>
    <w:p>
      <w:pPr>
        <w:pageBreakBefore w:val="0"/>
        <w:widowControl w:val="0"/>
        <w:kinsoku/>
        <w:wordWrap/>
        <w:overflowPunct/>
        <w:topLinePunct w:val="0"/>
        <w:bidi w:val="0"/>
        <w:spacing w:line="240" w:lineRule="auto"/>
        <w:ind w:firstLine="420"/>
        <w:textAlignment w:val="auto"/>
        <w:rPr>
          <w:rFonts w:ascii="宋体" w:hAnsi="宋体" w:cs="宋体"/>
          <w:szCs w:val="21"/>
        </w:rPr>
      </w:pPr>
      <w:r>
        <w:rPr>
          <w:rFonts w:hint="eastAsia" w:ascii="宋体" w:hAnsi="宋体" w:cs="宋体"/>
          <w:szCs w:val="21"/>
        </w:rPr>
        <w:t>制作团队需为拍摄场地配备教学等相关设备，声光电一体化需满足国家精品在线开放课程要求，教师可在拍摄过程中实时看到拍摄情况。具备移动录播系统，移动录播系统需具备如下功能：</w:t>
      </w:r>
    </w:p>
    <w:p>
      <w:pPr>
        <w:pageBreakBefore w:val="0"/>
        <w:widowControl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1) 支持 4 路高清输入、1 路 HDMI 输出，最高支持八路输入，音频输入。（输出接口可选 配）</w:t>
      </w:r>
    </w:p>
    <w:p>
      <w:pPr>
        <w:pageBreakBefore w:val="0"/>
        <w:widowControl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2) 具备 2D\3D 切换效果，广播级虚拟抠像功能，可进行颜色调整。</w:t>
      </w:r>
    </w:p>
    <w:p>
      <w:pPr>
        <w:pageBreakBefore w:val="0"/>
        <w:widowControl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3) 可进行自动播出、录播、延迟播出、网络直播、点播，可添加字幕、角标、台标。</w:t>
      </w:r>
    </w:p>
    <w:p>
      <w:pPr>
        <w:pageBreakBefore w:val="0"/>
        <w:widowControl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4) 软件自带音频调节功能，实时无损视音频存储。</w:t>
      </w:r>
    </w:p>
    <w:p>
      <w:pPr>
        <w:pageBreakBefore w:val="0"/>
        <w:widowControl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5)录制通过云台摄像机自动跟踪，也快手动调整，也可以选择专用摄像机配专用人员进行拍摄。</w:t>
      </w:r>
    </w:p>
    <w:p>
      <w:pPr>
        <w:pageBreakBefore w:val="0"/>
        <w:widowControl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6)可增配云台及云台控制器，可达到无人值守实时录课。大容量存储满足用户需求。</w:t>
      </w:r>
    </w:p>
    <w:p>
      <w:pPr>
        <w:pageBreakBefore w:val="0"/>
        <w:widowControl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7) 资源管理平台，管理员对不同用户点播观看进行限制，用户自行点播观看，留言等。</w:t>
      </w:r>
    </w:p>
    <w:p>
      <w:pPr>
        <w:pageBreakBefore w:val="0"/>
        <w:widowControl w:val="0"/>
        <w:kinsoku/>
        <w:wordWrap/>
        <w:overflowPunct/>
        <w:topLinePunct w:val="0"/>
        <w:bidi w:val="0"/>
        <w:adjustRightInd w:val="0"/>
        <w:snapToGrid w:val="0"/>
        <w:spacing w:line="240" w:lineRule="auto"/>
        <w:contextualSpacing/>
        <w:textAlignment w:val="auto"/>
        <w:rPr>
          <w:rFonts w:ascii="宋体" w:hAnsi="宋体" w:cs="宋体"/>
          <w:szCs w:val="21"/>
        </w:rPr>
      </w:pPr>
      <w:r>
        <w:rPr>
          <w:rFonts w:hint="eastAsia" w:ascii="宋体" w:hAnsi="宋体" w:cs="宋体"/>
          <w:szCs w:val="21"/>
        </w:rPr>
        <w:t>8) 通过 RTMP 协议地址进行直播。</w:t>
      </w:r>
    </w:p>
    <w:p>
      <w:pPr>
        <w:pStyle w:val="4"/>
        <w:pageBreakBefore w:val="0"/>
        <w:kinsoku/>
        <w:wordWrap/>
        <w:overflowPunct/>
        <w:topLinePunct w:val="0"/>
        <w:bidi w:val="0"/>
        <w:spacing w:before="0" w:after="0" w:line="240" w:lineRule="auto"/>
        <w:textAlignment w:val="auto"/>
        <w:rPr>
          <w:rFonts w:hint="eastAsia" w:ascii="宋体" w:hAnsi="宋体"/>
          <w:sz w:val="24"/>
          <w:szCs w:val="28"/>
          <w:lang w:val="en-US" w:eastAsia="zh-CN"/>
        </w:rPr>
      </w:pPr>
    </w:p>
    <w:p>
      <w:pPr>
        <w:pStyle w:val="4"/>
        <w:pageBreakBefore w:val="0"/>
        <w:kinsoku/>
        <w:wordWrap/>
        <w:overflowPunct/>
        <w:topLinePunct w:val="0"/>
        <w:bidi w:val="0"/>
        <w:spacing w:before="0" w:after="0" w:line="240" w:lineRule="auto"/>
        <w:textAlignment w:val="auto"/>
        <w:rPr>
          <w:rFonts w:ascii="宋体" w:hAnsi="宋体" w:cs="宋体"/>
          <w:color w:val="FF0000"/>
          <w:sz w:val="21"/>
          <w:szCs w:val="21"/>
          <w:lang w:val="zh-CN"/>
        </w:rPr>
      </w:pPr>
      <w:r>
        <w:rPr>
          <w:rFonts w:hint="eastAsia" w:ascii="宋体" w:hAnsi="宋体"/>
          <w:sz w:val="24"/>
          <w:szCs w:val="28"/>
          <w:lang w:val="en-US" w:eastAsia="zh-CN"/>
        </w:rPr>
        <w:t>4</w:t>
      </w:r>
      <w:r>
        <w:rPr>
          <w:rFonts w:hint="eastAsia" w:ascii="宋体" w:hAnsi="宋体" w:cs="宋体"/>
          <w:sz w:val="21"/>
          <w:szCs w:val="21"/>
        </w:rPr>
        <w:t>、移动学习资源平台软件</w:t>
      </w:r>
      <w:r>
        <w:rPr>
          <w:rFonts w:hint="eastAsia" w:ascii="宋体" w:hAnsi="宋体" w:cs="宋体"/>
          <w:sz w:val="21"/>
          <w:szCs w:val="21"/>
          <w:lang w:val="zh-CN"/>
        </w:rPr>
        <w:t xml:space="preserve"> </w:t>
      </w:r>
      <w:r>
        <w:rPr>
          <w:rFonts w:hint="eastAsia" w:ascii="宋体" w:hAnsi="宋体" w:cs="宋体"/>
          <w:color w:val="FF0000"/>
          <w:sz w:val="21"/>
          <w:szCs w:val="21"/>
          <w:lang w:val="zh-CN"/>
        </w:rPr>
        <w:t xml:space="preserve">  </w:t>
      </w:r>
    </w:p>
    <w:p>
      <w:pPr>
        <w:pStyle w:val="5"/>
        <w:pageBreakBefore w:val="0"/>
        <w:kinsoku/>
        <w:wordWrap/>
        <w:overflowPunct/>
        <w:topLinePunct w:val="0"/>
        <w:bidi w:val="0"/>
        <w:spacing w:before="0" w:after="0" w:line="240" w:lineRule="auto"/>
        <w:textAlignment w:val="auto"/>
        <w:rPr>
          <w:rFonts w:ascii="宋体" w:hAnsi="宋体" w:eastAsia="宋体" w:cs="宋体"/>
          <w:sz w:val="21"/>
          <w:szCs w:val="21"/>
        </w:rPr>
      </w:pPr>
      <w:r>
        <w:rPr>
          <w:rFonts w:hint="eastAsia" w:ascii="宋体" w:hAnsi="宋体"/>
          <w:sz w:val="24"/>
          <w:szCs w:val="28"/>
          <w:lang w:eastAsia="zh-Hans"/>
        </w:rPr>
        <w:t>▲</w:t>
      </w:r>
      <w:r>
        <w:rPr>
          <w:rFonts w:hint="eastAsia" w:ascii="宋体" w:hAnsi="宋体" w:eastAsia="宋体" w:cs="宋体"/>
          <w:sz w:val="21"/>
          <w:szCs w:val="21"/>
        </w:rPr>
        <w:t xml:space="preserve">1） 在线开放课程管理系统 </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（1）系统需支持课程分类管理。</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（2）需支持课程详细信息的管理，包括课程的推荐，复制，发布、关闭、和删除等功能。</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（3）支持视频中任意时间点插入试题：上传视频后，可以在任意时间点插入调查题型，包含单选题、多选题、填空题和对错题。</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（4）需提供数据管理、成员管理、统计及调查、通告管理等。</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（5）课程创建者可指定其他人作为具有同等本身权限的课程管理者，也可为自己指定其他人员辅助自己进行课程建设和管理。</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（6）创建者可以上传课程所需要各种书籍、文献、参考资料、视频等</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（7）支持课程的参考资料上传和管理，可配置下载。</w:t>
      </w:r>
    </w:p>
    <w:p>
      <w:pPr>
        <w:pStyle w:val="5"/>
        <w:pageBreakBefore w:val="0"/>
        <w:kinsoku/>
        <w:wordWrap/>
        <w:overflowPunct/>
        <w:topLinePunct w:val="0"/>
        <w:bidi w:val="0"/>
        <w:spacing w:before="0" w:after="0" w:line="240" w:lineRule="auto"/>
        <w:textAlignment w:val="auto"/>
        <w:rPr>
          <w:rFonts w:ascii="宋体" w:hAnsi="宋体" w:eastAsia="宋体" w:cs="宋体"/>
          <w:sz w:val="21"/>
          <w:szCs w:val="21"/>
        </w:rPr>
      </w:pPr>
      <w:r>
        <w:rPr>
          <w:rFonts w:hint="eastAsia" w:ascii="宋体" w:hAnsi="宋体"/>
          <w:sz w:val="24"/>
          <w:szCs w:val="28"/>
          <w:lang w:eastAsia="zh-Hans"/>
        </w:rPr>
        <w:t>▲</w:t>
      </w:r>
      <w:r>
        <w:rPr>
          <w:rFonts w:hint="eastAsia" w:ascii="宋体" w:hAnsi="宋体" w:eastAsia="宋体" w:cs="宋体"/>
          <w:sz w:val="21"/>
          <w:szCs w:val="21"/>
        </w:rPr>
        <w:t>2）教学管理功能</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（1）支持学生数据的导入与成绩的导出。</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（2）学生考核包含视频、作业、考试三个维度，需根据需要灵活设。</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（3）平台支持对助教教师及学生的行为进行记录与分析，包括学生使用各模块 学习的时间分配、学习次数，学生在学习教学资料、参与辅助教学的情况汇总，教师在数据管理中可以查看。</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（4）采用多种形式对某一课程的教学效果进行在线实时统计，对学生成绩进行统计分析，对教师学生行为进行统计分析，支持图表样式显示结果。</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（5）支持课程评价与讨论功能。</w:t>
      </w:r>
    </w:p>
    <w:p>
      <w:pPr>
        <w:pStyle w:val="5"/>
        <w:pageBreakBefore w:val="0"/>
        <w:kinsoku/>
        <w:wordWrap/>
        <w:overflowPunct/>
        <w:topLinePunct w:val="0"/>
        <w:bidi w:val="0"/>
        <w:spacing w:before="0" w:after="0" w:line="240" w:lineRule="auto"/>
        <w:textAlignment w:val="auto"/>
        <w:rPr>
          <w:rFonts w:ascii="宋体" w:hAnsi="宋体" w:eastAsia="宋体" w:cs="宋体"/>
          <w:sz w:val="21"/>
          <w:szCs w:val="21"/>
        </w:rPr>
      </w:pPr>
      <w:r>
        <w:rPr>
          <w:rFonts w:hint="eastAsia" w:ascii="宋体" w:hAnsi="宋体"/>
          <w:sz w:val="24"/>
          <w:szCs w:val="28"/>
          <w:lang w:eastAsia="zh-Hans"/>
        </w:rPr>
        <w:t>▲</w:t>
      </w:r>
      <w:r>
        <w:rPr>
          <w:rFonts w:hint="eastAsia" w:ascii="宋体" w:hAnsi="宋体" w:eastAsia="宋体" w:cs="宋体"/>
          <w:sz w:val="21"/>
          <w:szCs w:val="21"/>
        </w:rPr>
        <w:t>3）学生在线学习功能</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（1）支持在线考试功能。</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（2）支持学生在线进行讨论、答疑与寻求客服帮助</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（3）课程支持在学习中弹出弹窗练习，学生答完题才能继续学习</w:t>
      </w:r>
    </w:p>
    <w:p>
      <w:pPr>
        <w:pStyle w:val="5"/>
        <w:pageBreakBefore w:val="0"/>
        <w:kinsoku/>
        <w:wordWrap/>
        <w:overflowPunct/>
        <w:topLinePunct w:val="0"/>
        <w:bidi w:val="0"/>
        <w:spacing w:before="0" w:after="0" w:line="240" w:lineRule="auto"/>
        <w:textAlignment w:val="auto"/>
        <w:rPr>
          <w:rFonts w:ascii="宋体" w:hAnsi="宋体" w:eastAsia="宋体" w:cs="宋体"/>
          <w:sz w:val="21"/>
          <w:szCs w:val="21"/>
        </w:rPr>
      </w:pPr>
      <w:r>
        <w:rPr>
          <w:rFonts w:hint="eastAsia" w:ascii="宋体" w:hAnsi="宋体"/>
          <w:sz w:val="24"/>
          <w:szCs w:val="28"/>
          <w:lang w:eastAsia="zh-Hans"/>
        </w:rPr>
        <w:t>▲</w:t>
      </w:r>
      <w:r>
        <w:rPr>
          <w:rFonts w:hint="eastAsia" w:ascii="宋体" w:hAnsi="宋体" w:eastAsia="宋体" w:cs="宋体"/>
          <w:sz w:val="21"/>
          <w:szCs w:val="21"/>
        </w:rPr>
        <w:t>4）教师教学管理功能</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（1）教师可及时发布各种通知公告。</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（2）需灵活支持选课学生的增删改操作。</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（4）教师可设置课程的发布：可选择一次性发布课时学习任务和分批发布课时学习任务。</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（5）支持教师自己出题，进行发布考核，并纳入考核 方案。</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（6）教师可以选择部分文档进行分享，作为参考资料。</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（7）教师可在线出卷并发布考试。</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（8）需支持对会员进行管理，包括会员详细信息的查看编辑、设置用户组。</w:t>
      </w:r>
    </w:p>
    <w:p>
      <w:pPr>
        <w:pStyle w:val="5"/>
        <w:pageBreakBefore w:val="0"/>
        <w:kinsoku/>
        <w:wordWrap/>
        <w:overflowPunct/>
        <w:topLinePunct w:val="0"/>
        <w:bidi w:val="0"/>
        <w:spacing w:before="0" w:after="0" w:line="240" w:lineRule="auto"/>
        <w:textAlignment w:val="auto"/>
        <w:rPr>
          <w:rFonts w:ascii="宋体" w:hAnsi="宋体" w:eastAsia="宋体" w:cs="宋体"/>
          <w:sz w:val="21"/>
          <w:szCs w:val="21"/>
        </w:rPr>
      </w:pPr>
      <w:r>
        <w:rPr>
          <w:rFonts w:hint="eastAsia" w:ascii="宋体" w:hAnsi="宋体"/>
          <w:sz w:val="24"/>
          <w:szCs w:val="28"/>
          <w:lang w:eastAsia="zh-Hans"/>
        </w:rPr>
        <w:t>▲</w:t>
      </w:r>
      <w:r>
        <w:rPr>
          <w:rFonts w:hint="eastAsia" w:ascii="宋体" w:hAnsi="宋体" w:eastAsia="宋体" w:cs="宋体"/>
          <w:sz w:val="21"/>
          <w:szCs w:val="21"/>
        </w:rPr>
        <w:t>5）在线学习平台交流模块</w:t>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系统支持在线学习交流模块包括在线论坛功能、私信功能、课程讨论区功能</w:t>
      </w:r>
    </w:p>
    <w:p>
      <w:pPr>
        <w:pStyle w:val="5"/>
        <w:pageBreakBefore w:val="0"/>
        <w:kinsoku/>
        <w:wordWrap/>
        <w:overflowPunct/>
        <w:topLinePunct w:val="0"/>
        <w:bidi w:val="0"/>
        <w:spacing w:before="0" w:after="0" w:line="240" w:lineRule="auto"/>
        <w:textAlignment w:val="auto"/>
        <w:rPr>
          <w:rFonts w:ascii="宋体" w:hAnsi="宋体" w:eastAsia="宋体" w:cs="宋体"/>
          <w:szCs w:val="21"/>
        </w:rPr>
      </w:pPr>
      <w:r>
        <w:rPr>
          <w:rFonts w:hint="eastAsia" w:ascii="宋体" w:hAnsi="宋体"/>
          <w:sz w:val="24"/>
          <w:szCs w:val="28"/>
          <w:lang w:eastAsia="zh-Hans"/>
        </w:rPr>
        <w:t>▲</w:t>
      </w:r>
      <w:r>
        <w:rPr>
          <w:rFonts w:hint="eastAsia" w:ascii="宋体" w:hAnsi="宋体" w:eastAsia="宋体" w:cs="宋体"/>
          <w:sz w:val="21"/>
          <w:szCs w:val="21"/>
        </w:rPr>
        <w:t>6）分校功能</w:t>
      </w:r>
      <w:r>
        <w:rPr>
          <w:rFonts w:hint="eastAsia" w:ascii="宋体" w:hAnsi="宋体" w:eastAsia="宋体" w:cs="宋体"/>
          <w:sz w:val="21"/>
          <w:szCs w:val="21"/>
        </w:rPr>
        <w:tab/>
      </w:r>
      <w:r>
        <w:rPr>
          <w:rFonts w:hint="eastAsia" w:ascii="宋体" w:hAnsi="宋体" w:eastAsia="宋体" w:cs="宋体"/>
          <w:szCs w:val="21"/>
        </w:rPr>
        <w:tab/>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为方便教学资源的共享共用，平台必须有分校功能，方便其他院校使用。</w:t>
      </w:r>
    </w:p>
    <w:p>
      <w:pPr>
        <w:pStyle w:val="5"/>
        <w:pageBreakBefore w:val="0"/>
        <w:kinsoku/>
        <w:wordWrap/>
        <w:overflowPunct/>
        <w:topLinePunct w:val="0"/>
        <w:bidi w:val="0"/>
        <w:spacing w:before="0" w:after="0" w:line="240" w:lineRule="auto"/>
        <w:textAlignment w:val="auto"/>
        <w:rPr>
          <w:rFonts w:ascii="宋体" w:hAnsi="宋体" w:eastAsia="宋体" w:cs="宋体"/>
          <w:sz w:val="21"/>
          <w:szCs w:val="21"/>
        </w:rPr>
      </w:pPr>
      <w:r>
        <w:rPr>
          <w:rFonts w:hint="eastAsia" w:ascii="宋体" w:hAnsi="宋体"/>
          <w:sz w:val="24"/>
          <w:szCs w:val="28"/>
          <w:lang w:eastAsia="zh-Hans"/>
        </w:rPr>
        <w:t>▲</w:t>
      </w:r>
      <w:r>
        <w:rPr>
          <w:rFonts w:hint="eastAsia" w:ascii="宋体" w:hAnsi="宋体" w:eastAsia="宋体" w:cs="宋体"/>
          <w:sz w:val="21"/>
          <w:szCs w:val="21"/>
        </w:rPr>
        <w:t>7）支付系统</w:t>
      </w:r>
      <w:r>
        <w:rPr>
          <w:rFonts w:hint="eastAsia" w:ascii="宋体" w:hAnsi="宋体" w:eastAsia="宋体" w:cs="宋体"/>
          <w:sz w:val="21"/>
          <w:szCs w:val="21"/>
        </w:rPr>
        <w:tab/>
      </w:r>
      <w:r>
        <w:rPr>
          <w:rFonts w:hint="eastAsia" w:ascii="宋体" w:hAnsi="宋体" w:eastAsia="宋体" w:cs="宋体"/>
          <w:sz w:val="21"/>
          <w:szCs w:val="21"/>
        </w:rPr>
        <w:tab/>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因资源上线后，推广面向群体除院校师生外，还有企业人员和社会培训人群，平台应具有开设付费课程功能。</w:t>
      </w:r>
    </w:p>
    <w:p>
      <w:pPr>
        <w:pStyle w:val="5"/>
        <w:pageBreakBefore w:val="0"/>
        <w:kinsoku/>
        <w:wordWrap/>
        <w:overflowPunct/>
        <w:topLinePunct w:val="0"/>
        <w:bidi w:val="0"/>
        <w:spacing w:before="0" w:after="0" w:line="240" w:lineRule="auto"/>
        <w:textAlignment w:val="auto"/>
        <w:rPr>
          <w:rFonts w:ascii="宋体" w:hAnsi="宋体" w:eastAsia="宋体" w:cs="宋体"/>
          <w:szCs w:val="21"/>
        </w:rPr>
      </w:pPr>
      <w:r>
        <w:rPr>
          <w:rFonts w:hint="eastAsia" w:ascii="宋体" w:hAnsi="宋体"/>
          <w:sz w:val="24"/>
          <w:szCs w:val="28"/>
          <w:lang w:eastAsia="zh-Hans"/>
        </w:rPr>
        <w:t>▲</w:t>
      </w:r>
      <w:r>
        <w:rPr>
          <w:rFonts w:hint="eastAsia" w:ascii="宋体" w:hAnsi="宋体" w:eastAsia="宋体" w:cs="宋体"/>
          <w:sz w:val="21"/>
          <w:szCs w:val="21"/>
        </w:rPr>
        <w:t>8）视频转码功能</w:t>
      </w:r>
      <w:r>
        <w:rPr>
          <w:rFonts w:hint="eastAsia" w:ascii="宋体" w:hAnsi="宋体" w:eastAsia="宋体" w:cs="宋体"/>
          <w:sz w:val="21"/>
          <w:szCs w:val="21"/>
        </w:rPr>
        <w:tab/>
      </w:r>
      <w:r>
        <w:rPr>
          <w:rFonts w:hint="eastAsia" w:ascii="宋体" w:hAnsi="宋体" w:eastAsia="宋体" w:cs="宋体"/>
          <w:szCs w:val="21"/>
        </w:rPr>
        <w:tab/>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为使平台具有更高的资源兼容性，平台应支持视频在线转码，支持mp4、flv、hls等转码格式；</w:t>
      </w:r>
    </w:p>
    <w:p>
      <w:pPr>
        <w:pStyle w:val="5"/>
        <w:pageBreakBefore w:val="0"/>
        <w:kinsoku/>
        <w:wordWrap/>
        <w:overflowPunct/>
        <w:topLinePunct w:val="0"/>
        <w:bidi w:val="0"/>
        <w:spacing w:before="0" w:after="0" w:line="240" w:lineRule="auto"/>
        <w:textAlignment w:val="auto"/>
        <w:rPr>
          <w:rFonts w:ascii="宋体" w:hAnsi="宋体" w:eastAsia="宋体" w:cs="宋体"/>
          <w:szCs w:val="21"/>
        </w:rPr>
      </w:pPr>
      <w:r>
        <w:rPr>
          <w:rFonts w:hint="eastAsia" w:ascii="宋体" w:hAnsi="宋体"/>
          <w:sz w:val="24"/>
          <w:szCs w:val="28"/>
          <w:lang w:eastAsia="zh-Hans"/>
        </w:rPr>
        <w:t>▲</w:t>
      </w:r>
      <w:r>
        <w:rPr>
          <w:rFonts w:hint="eastAsia" w:ascii="宋体" w:hAnsi="宋体" w:eastAsia="宋体" w:cs="宋体"/>
          <w:sz w:val="21"/>
          <w:szCs w:val="21"/>
        </w:rPr>
        <w:t>9）平台架构</w:t>
      </w:r>
      <w:r>
        <w:rPr>
          <w:rFonts w:hint="eastAsia" w:ascii="宋体" w:hAnsi="宋体" w:eastAsia="宋体" w:cs="宋体"/>
          <w:sz w:val="21"/>
          <w:szCs w:val="21"/>
        </w:rPr>
        <w:tab/>
      </w:r>
      <w:r>
        <w:rPr>
          <w:rFonts w:hint="eastAsia" w:ascii="宋体" w:hAnsi="宋体" w:eastAsia="宋体" w:cs="宋体"/>
          <w:szCs w:val="21"/>
        </w:rPr>
        <w:tab/>
      </w:r>
    </w:p>
    <w:p>
      <w:pPr>
        <w:pageBreakBefore w:val="0"/>
        <w:kinsoku/>
        <w:wordWrap/>
        <w:overflowPunct/>
        <w:topLinePunct w:val="0"/>
        <w:bidi w:val="0"/>
        <w:spacing w:line="240" w:lineRule="auto"/>
        <w:textAlignment w:val="auto"/>
        <w:rPr>
          <w:rFonts w:ascii="宋体" w:hAnsi="宋体" w:cs="宋体"/>
          <w:szCs w:val="21"/>
        </w:rPr>
      </w:pPr>
      <w:r>
        <w:rPr>
          <w:rFonts w:hint="eastAsia" w:ascii="宋体" w:hAnsi="宋体" w:cs="宋体"/>
          <w:szCs w:val="21"/>
        </w:rPr>
        <w:t>平台服务器架构必须为高效、免费的LNMP架构，即操作系统为Linux，web服务器软件为Nginx，数据存储软件为Mysql，程序开发语言为Php；</w:t>
      </w:r>
    </w:p>
    <w:p>
      <w:pPr>
        <w:pStyle w:val="5"/>
        <w:pageBreakBefore w:val="0"/>
        <w:numPr>
          <w:ilvl w:val="0"/>
          <w:numId w:val="2"/>
        </w:numPr>
        <w:kinsoku/>
        <w:wordWrap/>
        <w:overflowPunct/>
        <w:topLinePunct w:val="0"/>
        <w:bidi w:val="0"/>
        <w:spacing w:before="0" w:after="0" w:line="240" w:lineRule="auto"/>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为保证版权，中标供应商须具有移动学习平台软件计算机软件著作权证书</w:t>
      </w:r>
    </w:p>
    <w:p>
      <w:pPr>
        <w:pageBreakBefore w:val="0"/>
        <w:numPr>
          <w:ilvl w:val="0"/>
          <w:numId w:val="0"/>
        </w:numPr>
        <w:kinsoku/>
        <w:wordWrap/>
        <w:overflowPunct/>
        <w:topLinePunct w:val="0"/>
        <w:bidi w:val="0"/>
        <w:spacing w:line="240" w:lineRule="auto"/>
        <w:textAlignment w:val="auto"/>
        <w:rPr>
          <w:rFonts w:hint="eastAsia" w:ascii="宋体" w:hAnsi="宋体" w:eastAsia="宋体" w:cs="宋体"/>
          <w:b/>
          <w:bCs/>
          <w:kern w:val="2"/>
          <w:sz w:val="21"/>
          <w:szCs w:val="21"/>
          <w:lang w:val="en-US" w:eastAsia="zh-CN" w:bidi="ar-SA"/>
        </w:rPr>
      </w:pPr>
      <w:r>
        <w:rPr>
          <w:rFonts w:hint="eastAsia" w:ascii="宋体" w:hAnsi="宋体"/>
          <w:sz w:val="24"/>
          <w:szCs w:val="28"/>
          <w:lang w:eastAsia="zh-Hans"/>
        </w:rPr>
        <w:t>▲</w:t>
      </w:r>
      <w:r>
        <w:rPr>
          <w:rFonts w:hint="eastAsia" w:ascii="宋体" w:hAnsi="宋体"/>
          <w:sz w:val="24"/>
          <w:szCs w:val="28"/>
          <w:lang w:val="en-US" w:eastAsia="zh-CN"/>
        </w:rPr>
        <w:t>5</w:t>
      </w:r>
      <w:r>
        <w:rPr>
          <w:rFonts w:hint="eastAsia" w:ascii="宋体" w:hAnsi="宋体" w:cs="宋体"/>
          <w:b/>
          <w:bCs/>
          <w:kern w:val="2"/>
          <w:sz w:val="21"/>
          <w:szCs w:val="21"/>
          <w:lang w:val="en-US" w:eastAsia="zh-CN" w:bidi="ar-SA"/>
        </w:rPr>
        <w:t>、</w:t>
      </w:r>
      <w:r>
        <w:rPr>
          <w:rFonts w:hint="eastAsia" w:ascii="宋体" w:hAnsi="宋体" w:eastAsia="宋体" w:cs="宋体"/>
          <w:b/>
          <w:bCs/>
          <w:kern w:val="2"/>
          <w:sz w:val="21"/>
          <w:szCs w:val="21"/>
          <w:lang w:val="en-US" w:eastAsia="zh-CN" w:bidi="ar-SA"/>
        </w:rPr>
        <w:t>AR增强现实学习系统要求</w:t>
      </w:r>
    </w:p>
    <w:p>
      <w:pPr>
        <w:pageBreakBefore w:val="0"/>
        <w:kinsoku/>
        <w:wordWrap/>
        <w:overflowPunct/>
        <w:topLinePunct w:val="0"/>
        <w:bidi w:val="0"/>
        <w:spacing w:line="240" w:lineRule="auto"/>
        <w:jc w:val="left"/>
        <w:textAlignment w:val="auto"/>
        <w:rPr>
          <w:rFonts w:ascii="宋体" w:hAnsi="宋体" w:cs="宋体"/>
          <w:szCs w:val="21"/>
        </w:rPr>
      </w:pPr>
      <w:r>
        <w:rPr>
          <w:rFonts w:hint="eastAsia" w:ascii="宋体" w:hAnsi="宋体" w:cs="宋体"/>
          <w:szCs w:val="21"/>
        </w:rPr>
        <w:t>模型展示功能包括：</w:t>
      </w:r>
    </w:p>
    <w:p>
      <w:pPr>
        <w:pageBreakBefore w:val="0"/>
        <w:numPr>
          <w:ilvl w:val="0"/>
          <w:numId w:val="0"/>
        </w:numPr>
        <w:kinsoku/>
        <w:wordWrap/>
        <w:overflowPunct/>
        <w:topLinePunct w:val="0"/>
        <w:bidi w:val="0"/>
        <w:spacing w:line="240" w:lineRule="auto"/>
        <w:jc w:val="left"/>
        <w:textAlignment w:val="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双指滑动屏幕实现缩放，单指滑动屏幕实现360度旋转;</w:t>
      </w:r>
    </w:p>
    <w:p>
      <w:pPr>
        <w:pageBreakBefore w:val="0"/>
        <w:numPr>
          <w:ilvl w:val="0"/>
          <w:numId w:val="0"/>
        </w:numPr>
        <w:kinsoku/>
        <w:wordWrap/>
        <w:overflowPunct/>
        <w:topLinePunct w:val="0"/>
        <w:bidi w:val="0"/>
        <w:spacing w:line="240" w:lineRule="auto"/>
        <w:jc w:val="left"/>
        <w:textAlignment w:val="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点自动旋转按钮，模型沿Y轴自动旋转，再次点击自动旋转按钮，停止自动旋转;</w:t>
      </w:r>
    </w:p>
    <w:p>
      <w:pPr>
        <w:pageBreakBefore w:val="0"/>
        <w:numPr>
          <w:ilvl w:val="0"/>
          <w:numId w:val="0"/>
        </w:numPr>
        <w:kinsoku/>
        <w:wordWrap/>
        <w:overflowPunct/>
        <w:topLinePunct w:val="0"/>
        <w:bidi w:val="0"/>
        <w:spacing w:line="240" w:lineRule="auto"/>
        <w:jc w:val="left"/>
        <w:textAlignment w:val="auto"/>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点拆分按钮，模型播放拆分动画，炸开显示各个元件，按钮文字变成合并；点合并按钮，炸开的按钮再次组装起来。整个过程都可以双指滑动屏幕实现、缩放，单指滑动屏幕实现360度旋转;</w:t>
      </w:r>
    </w:p>
    <w:p>
      <w:pPr>
        <w:pageBreakBefore w:val="0"/>
        <w:numPr>
          <w:ilvl w:val="0"/>
          <w:numId w:val="0"/>
        </w:numPr>
        <w:kinsoku/>
        <w:wordWrap/>
        <w:overflowPunct/>
        <w:topLinePunct w:val="0"/>
        <w:bidi w:val="0"/>
        <w:spacing w:line="240" w:lineRule="auto"/>
        <w:jc w:val="left"/>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点上下按钮，高亮显示某个元件，其余元件透明，可以突出高亮元件在整个模型中的位置。点孤立显示按钮跳转到下级界面，单独显示高亮元件。进入孤立显示界面可以缩放、自动旋转，点按钮返回上级功能界面;</w:t>
      </w:r>
    </w:p>
    <w:p>
      <w:pPr>
        <w:pageBreakBefore w:val="0"/>
        <w:numPr>
          <w:ilvl w:val="0"/>
          <w:numId w:val="0"/>
        </w:numPr>
        <w:kinsoku/>
        <w:wordWrap/>
        <w:overflowPunct/>
        <w:topLinePunct w:val="0"/>
        <w:bidi w:val="0"/>
        <w:spacing w:line="240" w:lineRule="auto"/>
        <w:jc w:val="left"/>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整个操作过程中，都可以点击重置 按钮把模型恢复初始状态;</w:t>
      </w:r>
    </w:p>
    <w:p>
      <w:pPr>
        <w:pageBreakBefore w:val="0"/>
        <w:numPr>
          <w:ilvl w:val="0"/>
          <w:numId w:val="0"/>
        </w:numPr>
        <w:kinsoku/>
        <w:wordWrap/>
        <w:overflowPunct/>
        <w:topLinePunct w:val="0"/>
        <w:bidi w:val="0"/>
        <w:spacing w:line="240" w:lineRule="auto"/>
        <w:jc w:val="left"/>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点清除按钮清空场景,即模型消失、功能按钮消失</w:t>
      </w:r>
      <w:r>
        <w:rPr>
          <w:rFonts w:hint="eastAsia" w:ascii="宋体" w:hAnsi="宋体" w:cs="宋体"/>
          <w:szCs w:val="21"/>
          <w:lang w:eastAsia="zh-CN"/>
        </w:rPr>
        <w:t>，</w:t>
      </w:r>
      <w:r>
        <w:rPr>
          <w:rFonts w:hint="eastAsia" w:ascii="宋体" w:hAnsi="宋体" w:cs="宋体"/>
          <w:szCs w:val="21"/>
        </w:rPr>
        <w:t>点返回按钮，进入书架界面;</w:t>
      </w:r>
    </w:p>
    <w:p>
      <w:pPr>
        <w:pStyle w:val="16"/>
        <w:pageBreakBefore w:val="0"/>
        <w:kinsoku/>
        <w:wordWrap/>
        <w:overflowPunct/>
        <w:topLinePunct w:val="0"/>
        <w:bidi w:val="0"/>
        <w:spacing w:line="240" w:lineRule="auto"/>
        <w:textAlignment w:val="auto"/>
        <w:rPr>
          <w:rFonts w:hint="default" w:eastAsia="宋体"/>
          <w:lang w:val="en-US" w:eastAsia="zh-CN"/>
        </w:rPr>
      </w:pPr>
      <w:r>
        <w:rPr>
          <w:rFonts w:hint="eastAsia" w:ascii="宋体" w:hAnsi="宋体"/>
          <w:b/>
          <w:sz w:val="21"/>
          <w:szCs w:val="21"/>
        </w:rPr>
        <w:t>凡标有“★”的条款均为必须满足的技术要求或商务要求，若有一项带“★”的指标未响应或不满足，将按投标无效处理；标有“▲”的条款均为本次采购的</w:t>
      </w:r>
      <w:r>
        <w:rPr>
          <w:rFonts w:hint="eastAsia" w:ascii="宋体" w:hAnsi="宋体"/>
          <w:b/>
          <w:sz w:val="21"/>
          <w:szCs w:val="21"/>
          <w:lang w:val="en-US" w:eastAsia="zh-CN"/>
        </w:rPr>
        <w:t>重要要求需提供相关页面截图；</w:t>
      </w:r>
    </w:p>
    <w:p>
      <w:pPr>
        <w:pStyle w:val="2"/>
        <w:pageBreakBefore w:val="0"/>
        <w:widowControl w:val="0"/>
        <w:kinsoku/>
        <w:wordWrap/>
        <w:overflowPunct/>
        <w:topLinePunct w:val="0"/>
        <w:autoSpaceDE/>
        <w:autoSpaceDN/>
        <w:bidi w:val="0"/>
        <w:adjustRightInd/>
        <w:snapToGrid/>
        <w:spacing w:after="0"/>
        <w:textAlignment w:val="auto"/>
        <w:rPr>
          <w:b/>
          <w:bCs/>
          <w:sz w:val="24"/>
        </w:rPr>
      </w:pPr>
    </w:p>
    <w:p>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color w:val="auto"/>
          <w:kern w:val="2"/>
          <w:sz w:val="24"/>
          <w:szCs w:val="24"/>
          <w:lang w:val="en-US" w:eastAsia="zh-CN" w:bidi="ar-SA"/>
        </w:rPr>
        <w:t>四、</w:t>
      </w:r>
      <w:r>
        <w:rPr>
          <w:rFonts w:hint="eastAsia" w:ascii="宋体" w:hAnsi="宋体" w:eastAsia="宋体" w:cs="宋体"/>
          <w:color w:val="auto"/>
          <w:sz w:val="24"/>
          <w:szCs w:val="24"/>
        </w:rPr>
        <w:t>评分方法</w:t>
      </w:r>
    </w:p>
    <w:p>
      <w:pPr>
        <w:pStyle w:val="3"/>
        <w:pageBreakBefore w:val="0"/>
        <w:widowControl w:val="0"/>
        <w:kinsoku/>
        <w:wordWrap/>
        <w:overflowPunct/>
        <w:topLinePunct w:val="0"/>
        <w:autoSpaceDE/>
        <w:autoSpaceDN/>
        <w:bidi w:val="0"/>
        <w:adjustRightInd/>
        <w:snapToGrid/>
        <w:spacing w:before="0" w:after="0" w:line="240" w:lineRule="auto"/>
        <w:ind w:left="0" w:firstLine="420" w:firstLineChars="200"/>
        <w:jc w:val="left"/>
        <w:textAlignment w:val="auto"/>
        <w:rPr>
          <w:rFonts w:hint="eastAsia"/>
          <w:color w:val="auto"/>
          <w:sz w:val="21"/>
          <w:szCs w:val="21"/>
        </w:rPr>
      </w:pPr>
      <w:r>
        <w:rPr>
          <w:rFonts w:hint="eastAsia"/>
          <w:color w:val="auto"/>
          <w:sz w:val="21"/>
          <w:szCs w:val="21"/>
        </w:rPr>
        <w:t>（一）评审方法：</w:t>
      </w:r>
      <w:r>
        <w:rPr>
          <w:color w:val="auto"/>
          <w:sz w:val="21"/>
          <w:szCs w:val="21"/>
        </w:rPr>
        <w:t>(</w:t>
      </w:r>
      <w:r>
        <w:rPr>
          <w:rFonts w:hint="eastAsia"/>
          <w:color w:val="auto"/>
          <w:sz w:val="21"/>
          <w:szCs w:val="21"/>
        </w:rPr>
        <w:t>二选一</w:t>
      </w:r>
      <w:r>
        <w:rPr>
          <w:color w:val="auto"/>
          <w:sz w:val="21"/>
          <w:szCs w:val="21"/>
        </w:rPr>
        <w:t>)</w:t>
      </w:r>
    </w:p>
    <w:p>
      <w:pPr>
        <w:pStyle w:val="3"/>
        <w:pageBreakBefore w:val="0"/>
        <w:widowControl w:val="0"/>
        <w:kinsoku/>
        <w:wordWrap/>
        <w:overflowPunct/>
        <w:topLinePunct w:val="0"/>
        <w:autoSpaceDE/>
        <w:autoSpaceDN/>
        <w:bidi w:val="0"/>
        <w:adjustRightInd/>
        <w:snapToGrid/>
        <w:spacing w:before="0" w:after="0" w:line="240" w:lineRule="auto"/>
        <w:ind w:left="0" w:firstLine="420" w:firstLineChars="200"/>
        <w:jc w:val="left"/>
        <w:textAlignment w:val="auto"/>
        <w:rPr>
          <w:color w:val="auto"/>
          <w:sz w:val="21"/>
          <w:szCs w:val="21"/>
        </w:rPr>
      </w:pPr>
      <w:r>
        <w:rPr>
          <w:rFonts w:hint="eastAsia"/>
          <w:color w:val="auto"/>
          <w:sz w:val="21"/>
          <w:szCs w:val="21"/>
        </w:rPr>
        <w:t>☑ 综合评分法</w:t>
      </w:r>
      <w:r>
        <w:rPr>
          <w:color w:val="auto"/>
          <w:sz w:val="21"/>
          <w:szCs w:val="21"/>
        </w:rPr>
        <w:t>(</w:t>
      </w:r>
      <w:r>
        <w:rPr>
          <w:rFonts w:hint="eastAsia"/>
          <w:color w:val="auto"/>
          <w:sz w:val="21"/>
          <w:szCs w:val="21"/>
        </w:rPr>
        <w:t>注：仅适用于招标类、竞争性磋商采购方式</w:t>
      </w:r>
      <w:r>
        <w:rPr>
          <w:color w:val="auto"/>
          <w:sz w:val="21"/>
          <w:szCs w:val="21"/>
        </w:rPr>
        <w:t>)</w:t>
      </w:r>
    </w:p>
    <w:p>
      <w:pPr>
        <w:pStyle w:val="3"/>
        <w:pageBreakBefore w:val="0"/>
        <w:widowControl w:val="0"/>
        <w:kinsoku/>
        <w:wordWrap/>
        <w:overflowPunct/>
        <w:topLinePunct w:val="0"/>
        <w:autoSpaceDE/>
        <w:autoSpaceDN/>
        <w:bidi w:val="0"/>
        <w:adjustRightInd/>
        <w:snapToGrid/>
        <w:spacing w:before="0" w:after="0" w:line="240" w:lineRule="auto"/>
        <w:ind w:left="0" w:firstLine="420" w:firstLineChars="200"/>
        <w:jc w:val="left"/>
        <w:textAlignment w:val="auto"/>
        <w:rPr>
          <w:rFonts w:hint="eastAsia"/>
          <w:color w:val="auto"/>
          <w:sz w:val="21"/>
          <w:szCs w:val="21"/>
        </w:rPr>
      </w:pPr>
      <w:r>
        <w:rPr>
          <w:rFonts w:hint="eastAsia"/>
          <w:color w:val="auto"/>
          <w:sz w:val="21"/>
          <w:szCs w:val="21"/>
        </w:rPr>
        <w:t>□ 最低评标价法</w:t>
      </w:r>
      <w:r>
        <w:rPr>
          <w:color w:val="auto"/>
          <w:sz w:val="21"/>
          <w:szCs w:val="21"/>
        </w:rPr>
        <w:t>(</w:t>
      </w:r>
      <w:r>
        <w:rPr>
          <w:rFonts w:hint="eastAsia"/>
          <w:color w:val="auto"/>
          <w:sz w:val="21"/>
          <w:szCs w:val="21"/>
        </w:rPr>
        <w:t>注：适用于竞争性磋商以外的其他采购方式</w:t>
      </w:r>
      <w:r>
        <w:rPr>
          <w:color w:val="auto"/>
          <w:sz w:val="21"/>
          <w:szCs w:val="21"/>
        </w:rPr>
        <w:t>)</w:t>
      </w:r>
    </w:p>
    <w:p>
      <w:pPr>
        <w:pStyle w:val="3"/>
        <w:pageBreakBefore w:val="0"/>
        <w:widowControl w:val="0"/>
        <w:kinsoku/>
        <w:wordWrap/>
        <w:overflowPunct/>
        <w:topLinePunct w:val="0"/>
        <w:autoSpaceDE/>
        <w:autoSpaceDN/>
        <w:bidi w:val="0"/>
        <w:adjustRightInd/>
        <w:snapToGrid/>
        <w:spacing w:before="0" w:after="0" w:line="240" w:lineRule="auto"/>
        <w:ind w:left="0" w:firstLine="420" w:firstLineChars="200"/>
        <w:jc w:val="both"/>
        <w:textAlignment w:val="auto"/>
        <w:rPr>
          <w:color w:val="auto"/>
          <w:sz w:val="21"/>
          <w:szCs w:val="21"/>
        </w:rPr>
      </w:pPr>
      <w:r>
        <w:rPr>
          <w:rFonts w:hint="eastAsia"/>
          <w:color w:val="auto"/>
          <w:sz w:val="21"/>
          <w:szCs w:val="21"/>
        </w:rPr>
        <w:t>（二）采用综合评分法，其评审标准与因素如下：</w:t>
      </w:r>
    </w:p>
    <w:p>
      <w:pPr>
        <w:pStyle w:val="4"/>
        <w:keepNext w:val="0"/>
        <w:keepLines w:val="0"/>
        <w:pageBreakBefore w:val="0"/>
        <w:widowControl w:val="0"/>
        <w:numPr>
          <w:ilvl w:val="0"/>
          <w:numId w:val="3"/>
        </w:numPr>
        <w:tabs>
          <w:tab w:val="left" w:pos="780"/>
        </w:tabs>
        <w:kinsoku/>
        <w:wordWrap/>
        <w:overflowPunct/>
        <w:topLinePunct w:val="0"/>
        <w:autoSpaceDE w:val="0"/>
        <w:autoSpaceDN w:val="0"/>
        <w:bidi w:val="0"/>
        <w:adjustRightInd w:val="0"/>
        <w:snapToGrid/>
        <w:spacing w:before="0" w:after="0" w:line="240" w:lineRule="auto"/>
        <w:ind w:left="0" w:firstLine="482" w:firstLineChars="200"/>
        <w:textAlignment w:val="auto"/>
        <w:rPr>
          <w:sz w:val="24"/>
          <w:szCs w:val="24"/>
        </w:rPr>
      </w:pPr>
      <w:bookmarkStart w:id="4" w:name="_Toc273255368"/>
      <w:bookmarkStart w:id="5" w:name="_Toc389489432"/>
      <w:bookmarkStart w:id="6" w:name="_Toc324867197"/>
      <w:r>
        <w:rPr>
          <w:sz w:val="24"/>
          <w:szCs w:val="24"/>
        </w:rPr>
        <w:t>权重分配</w:t>
      </w:r>
      <w:bookmarkEnd w:id="4"/>
      <w:bookmarkEnd w:id="5"/>
      <w:bookmarkEnd w:id="6"/>
      <w:r>
        <w:rPr>
          <w:rFonts w:hint="eastAsia"/>
          <w:sz w:val="24"/>
          <w:szCs w:val="24"/>
        </w:rPr>
        <w:t>（总分100分）</w:t>
      </w:r>
    </w:p>
    <w:tbl>
      <w:tblPr>
        <w:tblStyle w:val="11"/>
        <w:tblW w:w="7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3059"/>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06" w:type="dxa"/>
            <w:shd w:val="clear" w:color="auto" w:fill="auto"/>
            <w:noWrap w:val="0"/>
            <w:vAlign w:val="center"/>
          </w:tcPr>
          <w:p>
            <w:pPr>
              <w:pageBreakBefore w:val="0"/>
              <w:widowControl w:val="0"/>
              <w:kinsoku/>
              <w:wordWrap/>
              <w:overflowPunct/>
              <w:topLinePunct w:val="0"/>
              <w:bidi w:val="0"/>
              <w:snapToGrid/>
              <w:spacing w:line="240" w:lineRule="auto"/>
              <w:jc w:val="center"/>
              <w:textAlignment w:val="auto"/>
              <w:rPr>
                <w:b/>
                <w:color w:val="auto"/>
                <w:szCs w:val="21"/>
                <w:lang w:val="en-GB"/>
              </w:rPr>
            </w:pPr>
            <w:r>
              <w:rPr>
                <w:rFonts w:hAnsi="宋体"/>
                <w:b/>
                <w:color w:val="auto"/>
                <w:szCs w:val="21"/>
              </w:rPr>
              <w:t>商务部分</w:t>
            </w:r>
          </w:p>
        </w:tc>
        <w:tc>
          <w:tcPr>
            <w:tcW w:w="3059" w:type="dxa"/>
            <w:shd w:val="clear" w:color="auto" w:fill="auto"/>
            <w:noWrap w:val="0"/>
            <w:vAlign w:val="center"/>
          </w:tcPr>
          <w:p>
            <w:pPr>
              <w:pageBreakBefore w:val="0"/>
              <w:widowControl w:val="0"/>
              <w:kinsoku/>
              <w:wordWrap/>
              <w:overflowPunct/>
              <w:topLinePunct w:val="0"/>
              <w:bidi w:val="0"/>
              <w:snapToGrid/>
              <w:spacing w:line="240" w:lineRule="auto"/>
              <w:jc w:val="center"/>
              <w:textAlignment w:val="auto"/>
              <w:rPr>
                <w:b/>
                <w:color w:val="auto"/>
                <w:szCs w:val="21"/>
                <w:lang w:val="en-GB"/>
              </w:rPr>
            </w:pPr>
            <w:r>
              <w:rPr>
                <w:rFonts w:hAnsi="宋体"/>
                <w:b/>
                <w:color w:val="auto"/>
                <w:szCs w:val="21"/>
              </w:rPr>
              <w:t>技术部分</w:t>
            </w:r>
          </w:p>
        </w:tc>
        <w:tc>
          <w:tcPr>
            <w:tcW w:w="2493" w:type="dxa"/>
            <w:shd w:val="clear" w:color="auto" w:fill="auto"/>
            <w:noWrap w:val="0"/>
            <w:vAlign w:val="center"/>
          </w:tcPr>
          <w:p>
            <w:pPr>
              <w:pageBreakBefore w:val="0"/>
              <w:widowControl w:val="0"/>
              <w:kinsoku/>
              <w:wordWrap/>
              <w:overflowPunct/>
              <w:topLinePunct w:val="0"/>
              <w:bidi w:val="0"/>
              <w:snapToGrid/>
              <w:spacing w:line="240" w:lineRule="auto"/>
              <w:jc w:val="center"/>
              <w:textAlignment w:val="auto"/>
              <w:rPr>
                <w:b/>
                <w:color w:val="auto"/>
                <w:szCs w:val="21"/>
                <w:lang w:val="en-GB"/>
              </w:rPr>
            </w:pPr>
            <w:r>
              <w:rPr>
                <w:rFonts w:hAnsi="宋体"/>
                <w:b/>
                <w:color w:val="auto"/>
                <w:szCs w:val="21"/>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106" w:type="dxa"/>
            <w:shd w:val="clear" w:color="auto" w:fill="auto"/>
            <w:noWrap w:val="0"/>
            <w:vAlign w:val="center"/>
          </w:tcPr>
          <w:p>
            <w:pPr>
              <w:pageBreakBefore w:val="0"/>
              <w:widowControl w:val="0"/>
              <w:kinsoku/>
              <w:wordWrap/>
              <w:overflowPunct/>
              <w:topLinePunct w:val="0"/>
              <w:bidi w:val="0"/>
              <w:snapToGrid/>
              <w:spacing w:line="240" w:lineRule="auto"/>
              <w:jc w:val="center"/>
              <w:textAlignment w:val="auto"/>
              <w:rPr>
                <w:rFonts w:hint="eastAsia" w:eastAsia="黑体"/>
                <w:color w:val="auto"/>
                <w:szCs w:val="21"/>
                <w:lang w:val="en-GB"/>
              </w:rPr>
            </w:pPr>
            <w:r>
              <w:rPr>
                <w:rFonts w:hint="eastAsia" w:eastAsia="黑体"/>
                <w:color w:val="auto"/>
                <w:szCs w:val="21"/>
                <w:lang w:val="en-US" w:eastAsia="zh-CN"/>
              </w:rPr>
              <w:t>3</w:t>
            </w:r>
            <w:r>
              <w:rPr>
                <w:rFonts w:eastAsia="黑体"/>
                <w:color w:val="auto"/>
                <w:szCs w:val="21"/>
              </w:rPr>
              <w:t>5</w:t>
            </w:r>
            <w:r>
              <w:rPr>
                <w:rFonts w:hint="eastAsia" w:eastAsia="黑体"/>
                <w:color w:val="auto"/>
                <w:szCs w:val="21"/>
              </w:rPr>
              <w:t xml:space="preserve"> </w:t>
            </w:r>
          </w:p>
        </w:tc>
        <w:tc>
          <w:tcPr>
            <w:tcW w:w="3059" w:type="dxa"/>
            <w:shd w:val="clear" w:color="auto" w:fill="auto"/>
            <w:noWrap w:val="0"/>
            <w:vAlign w:val="center"/>
          </w:tcPr>
          <w:p>
            <w:pPr>
              <w:pageBreakBefore w:val="0"/>
              <w:widowControl w:val="0"/>
              <w:kinsoku/>
              <w:wordWrap/>
              <w:overflowPunct/>
              <w:topLinePunct w:val="0"/>
              <w:bidi w:val="0"/>
              <w:snapToGrid/>
              <w:spacing w:line="240" w:lineRule="auto"/>
              <w:jc w:val="center"/>
              <w:textAlignment w:val="auto"/>
              <w:rPr>
                <w:rFonts w:hint="eastAsia" w:eastAsia="黑体"/>
                <w:color w:val="auto"/>
                <w:szCs w:val="21"/>
                <w:lang w:val="en-GB"/>
              </w:rPr>
            </w:pPr>
            <w:r>
              <w:rPr>
                <w:rFonts w:hint="eastAsia" w:eastAsia="黑体"/>
                <w:color w:val="auto"/>
                <w:szCs w:val="21"/>
                <w:lang w:val="en-US" w:eastAsia="zh-CN"/>
              </w:rPr>
              <w:t>4</w:t>
            </w:r>
            <w:r>
              <w:rPr>
                <w:rFonts w:eastAsia="黑体"/>
                <w:color w:val="auto"/>
                <w:szCs w:val="21"/>
                <w:lang w:val="en-GB"/>
              </w:rPr>
              <w:t>5</w:t>
            </w:r>
          </w:p>
        </w:tc>
        <w:tc>
          <w:tcPr>
            <w:tcW w:w="2493" w:type="dxa"/>
            <w:shd w:val="clear" w:color="auto" w:fill="auto"/>
            <w:noWrap w:val="0"/>
            <w:vAlign w:val="center"/>
          </w:tcPr>
          <w:p>
            <w:pPr>
              <w:pageBreakBefore w:val="0"/>
              <w:widowControl w:val="0"/>
              <w:kinsoku/>
              <w:wordWrap/>
              <w:overflowPunct/>
              <w:topLinePunct w:val="0"/>
              <w:bidi w:val="0"/>
              <w:snapToGrid/>
              <w:spacing w:line="240" w:lineRule="auto"/>
              <w:jc w:val="center"/>
              <w:textAlignment w:val="auto"/>
              <w:rPr>
                <w:rFonts w:hint="default" w:eastAsia="黑体"/>
                <w:color w:val="auto"/>
                <w:szCs w:val="21"/>
                <w:lang w:val="en-US" w:eastAsia="zh-CN"/>
              </w:rPr>
            </w:pPr>
            <w:r>
              <w:rPr>
                <w:rFonts w:hint="eastAsia" w:eastAsia="黑体"/>
                <w:color w:val="auto"/>
                <w:szCs w:val="21"/>
                <w:lang w:val="en-US" w:eastAsia="zh-CN"/>
              </w:rPr>
              <w:t>20</w:t>
            </w:r>
          </w:p>
        </w:tc>
      </w:tr>
    </w:tbl>
    <w:p>
      <w:pPr>
        <w:pStyle w:val="4"/>
        <w:keepNext w:val="0"/>
        <w:keepLines w:val="0"/>
        <w:numPr>
          <w:ilvl w:val="0"/>
          <w:numId w:val="3"/>
        </w:numPr>
        <w:tabs>
          <w:tab w:val="left" w:pos="780"/>
        </w:tabs>
        <w:autoSpaceDE w:val="0"/>
        <w:autoSpaceDN w:val="0"/>
        <w:adjustRightInd w:val="0"/>
        <w:spacing w:before="0" w:after="0" w:line="240" w:lineRule="auto"/>
        <w:ind w:firstLine="482"/>
        <w:rPr>
          <w:rFonts w:hint="eastAsia"/>
          <w:lang w:val="en-GB"/>
        </w:rPr>
      </w:pPr>
      <w:bookmarkStart w:id="7" w:name="_Toc389489433"/>
      <w:bookmarkStart w:id="8" w:name="_Toc324867198"/>
      <w:bookmarkStart w:id="9" w:name="_Toc273255369"/>
      <w:r>
        <w:rPr>
          <w:sz w:val="24"/>
          <w:szCs w:val="24"/>
        </w:rPr>
        <w:t>商务部分</w:t>
      </w:r>
      <w:r>
        <w:rPr>
          <w:rFonts w:ascii="Times New Roman" w:hAnsi="宋体" w:eastAsia="宋体" w:cs="Times New Roman"/>
          <w:b/>
          <w:bCs w:val="0"/>
          <w:color w:val="auto"/>
          <w:kern w:val="2"/>
          <w:sz w:val="21"/>
          <w:szCs w:val="21"/>
          <w:lang w:val="en-US" w:eastAsia="zh-CN" w:bidi="ar-SA"/>
        </w:rPr>
        <w:t>（权重</w:t>
      </w:r>
      <w:r>
        <w:rPr>
          <w:rFonts w:hint="eastAsia" w:ascii="Times New Roman" w:hAnsi="宋体" w:eastAsia="宋体" w:cs="Times New Roman"/>
          <w:b/>
          <w:bCs w:val="0"/>
          <w:color w:val="auto"/>
          <w:kern w:val="2"/>
          <w:sz w:val="21"/>
          <w:szCs w:val="21"/>
          <w:lang w:val="en-US" w:eastAsia="zh-CN" w:bidi="ar-SA"/>
        </w:rPr>
        <w:t>3</w:t>
      </w:r>
      <w:r>
        <w:rPr>
          <w:rFonts w:ascii="Times New Roman" w:hAnsi="宋体" w:eastAsia="宋体" w:cs="Times New Roman"/>
          <w:b/>
          <w:bCs w:val="0"/>
          <w:color w:val="auto"/>
          <w:kern w:val="2"/>
          <w:sz w:val="21"/>
          <w:szCs w:val="21"/>
          <w:lang w:val="en-US" w:eastAsia="zh-CN" w:bidi="ar-SA"/>
        </w:rPr>
        <w:t>5%）</w:t>
      </w:r>
      <w:bookmarkEnd w:id="7"/>
      <w:bookmarkEnd w:id="8"/>
      <w:bookmarkEnd w:id="9"/>
    </w:p>
    <w:tbl>
      <w:tblPr>
        <w:tblStyle w:val="11"/>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808"/>
        <w:gridCol w:w="786"/>
        <w:gridCol w:w="6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blHeader/>
          <w:jc w:val="center"/>
        </w:trPr>
        <w:tc>
          <w:tcPr>
            <w:tcW w:w="1600"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jc w:val="center"/>
              <w:textAlignment w:val="auto"/>
              <w:rPr>
                <w:b/>
                <w:sz w:val="18"/>
                <w:szCs w:val="18"/>
              </w:rPr>
            </w:pPr>
            <w:bookmarkStart w:id="10" w:name="OLE_LINK2"/>
            <w:r>
              <w:rPr>
                <w:rFonts w:hint="eastAsia"/>
                <w:b/>
                <w:sz w:val="18"/>
                <w:szCs w:val="18"/>
              </w:rPr>
              <w:t>商务评审因素</w:t>
            </w:r>
            <w:bookmarkEnd w:id="10"/>
          </w:p>
        </w:tc>
        <w:tc>
          <w:tcPr>
            <w:tcW w:w="786"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jc w:val="center"/>
              <w:textAlignment w:val="auto"/>
              <w:rPr>
                <w:b/>
                <w:sz w:val="18"/>
                <w:szCs w:val="18"/>
              </w:rPr>
            </w:pPr>
            <w:r>
              <w:rPr>
                <w:rFonts w:hint="eastAsia"/>
                <w:b/>
                <w:sz w:val="18"/>
                <w:szCs w:val="18"/>
              </w:rPr>
              <w:t>满分值</w:t>
            </w:r>
          </w:p>
        </w:tc>
        <w:tc>
          <w:tcPr>
            <w:tcW w:w="617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jc w:val="center"/>
              <w:textAlignment w:val="auto"/>
              <w:rPr>
                <w:b/>
                <w:sz w:val="18"/>
                <w:szCs w:val="18"/>
              </w:rPr>
            </w:pPr>
            <w:r>
              <w:rPr>
                <w:rFonts w:hint="eastAsia"/>
                <w:b/>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4"/>
              </w:numPr>
              <w:tabs>
                <w:tab w:val="left" w:pos="170"/>
              </w:tabs>
              <w:kinsoku/>
              <w:wordWrap/>
              <w:overflowPunct/>
              <w:topLinePunct w:val="0"/>
              <w:autoSpaceDE/>
              <w:autoSpaceDN/>
              <w:bidi w:val="0"/>
              <w:adjustRightInd/>
              <w:snapToGrid/>
              <w:spacing w:line="240" w:lineRule="atLeast"/>
              <w:ind w:left="0"/>
              <w:jc w:val="center"/>
              <w:textAlignment w:val="auto"/>
              <w:rPr>
                <w:sz w:val="18"/>
                <w:szCs w:val="18"/>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jc w:val="center"/>
              <w:textAlignment w:val="auto"/>
              <w:rPr>
                <w:rFonts w:hint="eastAsia" w:ascii="宋体" w:hAnsi="宋体" w:cs="宋体"/>
                <w:sz w:val="18"/>
                <w:szCs w:val="18"/>
              </w:rPr>
            </w:pPr>
            <w:r>
              <w:rPr>
                <w:rFonts w:hint="eastAsia" w:ascii="宋体" w:hAnsi="宋体" w:cs="宋体"/>
                <w:sz w:val="18"/>
                <w:szCs w:val="18"/>
              </w:rPr>
              <w:t>投标人</w:t>
            </w:r>
            <w:r>
              <w:rPr>
                <w:rFonts w:hint="eastAsia"/>
                <w:sz w:val="18"/>
                <w:szCs w:val="18"/>
                <w:lang w:val="en-US" w:eastAsia="zh-CN"/>
              </w:rPr>
              <w:t>证书</w:t>
            </w:r>
            <w:r>
              <w:rPr>
                <w:rFonts w:hint="eastAsia"/>
                <w:sz w:val="18"/>
                <w:szCs w:val="18"/>
              </w:rPr>
              <w:t>情况</w:t>
            </w: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jc w:val="center"/>
              <w:textAlignment w:val="auto"/>
              <w:rPr>
                <w:rFonts w:ascii="宋体" w:hAnsi="宋体" w:cs="宋体"/>
                <w:sz w:val="18"/>
                <w:szCs w:val="18"/>
              </w:rPr>
            </w:pPr>
            <w:r>
              <w:rPr>
                <w:rFonts w:ascii="宋体" w:hAnsi="宋体" w:cs="宋体"/>
                <w:sz w:val="18"/>
                <w:szCs w:val="18"/>
              </w:rPr>
              <w:t>9</w:t>
            </w:r>
          </w:p>
        </w:tc>
        <w:tc>
          <w:tcPr>
            <w:tcW w:w="61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hd w:val="clear"/>
              <w:kinsoku/>
              <w:wordWrap/>
              <w:overflowPunct/>
              <w:topLinePunct w:val="0"/>
              <w:autoSpaceDE/>
              <w:autoSpaceDN/>
              <w:bidi w:val="0"/>
              <w:adjustRightInd/>
              <w:snapToGrid/>
              <w:spacing w:line="240" w:lineRule="atLeast"/>
              <w:ind w:left="0"/>
              <w:textAlignment w:val="auto"/>
              <w:rPr>
                <w:rFonts w:hint="eastAsia"/>
                <w:sz w:val="18"/>
                <w:szCs w:val="18"/>
              </w:rPr>
            </w:pPr>
            <w:r>
              <w:rPr>
                <w:rFonts w:hint="eastAsia"/>
                <w:sz w:val="18"/>
                <w:szCs w:val="18"/>
                <w:lang w:val="en-US" w:eastAsia="zh-CN"/>
              </w:rPr>
              <w:t>响应供应商</w:t>
            </w:r>
            <w:r>
              <w:rPr>
                <w:rFonts w:hint="eastAsia"/>
                <w:sz w:val="18"/>
                <w:szCs w:val="18"/>
              </w:rPr>
              <w:t>具有有效期内的质量管理体系认证证书</w:t>
            </w:r>
            <w:r>
              <w:rPr>
                <w:rFonts w:hint="eastAsia"/>
                <w:sz w:val="18"/>
                <w:szCs w:val="18"/>
                <w:lang w:eastAsia="zh-CN"/>
              </w:rPr>
              <w:t>（</w:t>
            </w:r>
            <w:r>
              <w:rPr>
                <w:rFonts w:hint="eastAsia"/>
                <w:sz w:val="18"/>
                <w:szCs w:val="18"/>
                <w:lang w:val="en-US" w:eastAsia="zh-CN"/>
              </w:rPr>
              <w:t xml:space="preserve">认证范围包含：数字教材平台软件开发、 </w:t>
            </w:r>
            <w:r>
              <w:rPr>
                <w:rFonts w:hint="default"/>
                <w:sz w:val="18"/>
                <w:szCs w:val="18"/>
                <w:lang w:val="en-US" w:eastAsia="zh-CN"/>
              </w:rPr>
              <w:t>数字课程资源制作的相关职业健康安全管理</w:t>
            </w:r>
            <w:r>
              <w:rPr>
                <w:rFonts w:hint="eastAsia"/>
                <w:sz w:val="18"/>
                <w:szCs w:val="18"/>
                <w:lang w:val="en-US" w:eastAsia="zh-CN"/>
              </w:rPr>
              <w:t>）</w:t>
            </w:r>
            <w:r>
              <w:rPr>
                <w:rFonts w:hint="eastAsia"/>
                <w:sz w:val="18"/>
                <w:szCs w:val="18"/>
              </w:rPr>
              <w:t>、环境管理体系认证证书</w:t>
            </w:r>
            <w:r>
              <w:rPr>
                <w:rFonts w:hint="eastAsia"/>
                <w:sz w:val="18"/>
                <w:szCs w:val="18"/>
                <w:lang w:eastAsia="zh-CN"/>
              </w:rPr>
              <w:t>（</w:t>
            </w:r>
            <w:r>
              <w:rPr>
                <w:rFonts w:hint="eastAsia"/>
                <w:sz w:val="18"/>
                <w:szCs w:val="18"/>
                <w:lang w:val="en-US" w:eastAsia="zh-CN"/>
              </w:rPr>
              <w:t>认证范围包含：数字教材编辑加工、数字课程资源制作）</w:t>
            </w:r>
            <w:r>
              <w:rPr>
                <w:rFonts w:hint="eastAsia"/>
                <w:sz w:val="18"/>
                <w:szCs w:val="18"/>
              </w:rPr>
              <w:t>、职业健康安全管理体系认证证书</w:t>
            </w:r>
            <w:r>
              <w:rPr>
                <w:rFonts w:hint="eastAsia"/>
                <w:sz w:val="18"/>
                <w:szCs w:val="18"/>
                <w:lang w:eastAsia="zh-CN"/>
              </w:rPr>
              <w:t>（</w:t>
            </w:r>
            <w:r>
              <w:rPr>
                <w:rFonts w:hint="eastAsia"/>
                <w:sz w:val="18"/>
                <w:szCs w:val="18"/>
                <w:lang w:val="en-US" w:eastAsia="zh-CN"/>
              </w:rPr>
              <w:t>认证范围包含：数字课程资源制作的相关职业健康安全管理）</w:t>
            </w:r>
            <w:r>
              <w:rPr>
                <w:rFonts w:hint="eastAsia"/>
                <w:sz w:val="18"/>
                <w:szCs w:val="18"/>
              </w:rPr>
              <w:t>，全部提供得9分，每提供一个得3分，不提供不得分。</w:t>
            </w:r>
          </w:p>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eastAsia" w:ascii="宋体" w:hAnsi="宋体" w:cs="宋体"/>
                <w:sz w:val="18"/>
                <w:szCs w:val="18"/>
              </w:rPr>
            </w:pPr>
            <w:r>
              <w:rPr>
                <w:rFonts w:hint="eastAsia"/>
                <w:sz w:val="18"/>
                <w:szCs w:val="18"/>
              </w:rPr>
              <w:t>须提供的证明材料：相关证明</w:t>
            </w:r>
            <w:r>
              <w:rPr>
                <w:rFonts w:hint="eastAsia"/>
                <w:sz w:val="18"/>
                <w:szCs w:val="18"/>
                <w:lang w:val="en-US" w:eastAsia="zh-CN"/>
              </w:rPr>
              <w:t>证书</w:t>
            </w:r>
            <w:r>
              <w:rPr>
                <w:rFonts w:hint="eastAsia"/>
                <w:sz w:val="18"/>
                <w:szCs w:val="18"/>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4"/>
              </w:numPr>
              <w:tabs>
                <w:tab w:val="left" w:pos="170"/>
              </w:tabs>
              <w:kinsoku/>
              <w:wordWrap/>
              <w:overflowPunct/>
              <w:topLinePunct w:val="0"/>
              <w:autoSpaceDE/>
              <w:autoSpaceDN/>
              <w:bidi w:val="0"/>
              <w:adjustRightInd/>
              <w:snapToGrid/>
              <w:spacing w:line="240" w:lineRule="atLeast"/>
              <w:ind w:left="0"/>
              <w:jc w:val="center"/>
              <w:textAlignment w:val="auto"/>
              <w:rPr>
                <w:sz w:val="18"/>
                <w:szCs w:val="18"/>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jc w:val="center"/>
              <w:textAlignment w:val="auto"/>
              <w:rPr>
                <w:rFonts w:ascii="宋体" w:hAnsi="宋体"/>
                <w:sz w:val="18"/>
                <w:szCs w:val="18"/>
              </w:rPr>
            </w:pPr>
            <w:r>
              <w:rPr>
                <w:rFonts w:hint="eastAsia" w:ascii="宋体" w:hAnsi="宋体" w:cs="宋体"/>
                <w:kern w:val="0"/>
                <w:sz w:val="18"/>
                <w:szCs w:val="18"/>
              </w:rPr>
              <w:t>投标人企业实力</w:t>
            </w: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jc w:val="center"/>
              <w:textAlignment w:val="auto"/>
              <w:rPr>
                <w:rFonts w:hint="default" w:ascii="宋体" w:hAnsi="宋体" w:eastAsia="宋体"/>
                <w:sz w:val="18"/>
                <w:szCs w:val="18"/>
                <w:lang w:val="en-US" w:eastAsia="zh-CN"/>
              </w:rPr>
            </w:pPr>
            <w:r>
              <w:rPr>
                <w:rFonts w:hint="eastAsia" w:ascii="宋体" w:hAnsi="宋体"/>
                <w:sz w:val="18"/>
                <w:szCs w:val="18"/>
                <w:lang w:val="en-US" w:eastAsia="zh-CN"/>
              </w:rPr>
              <w:t>12</w:t>
            </w:r>
          </w:p>
        </w:tc>
        <w:tc>
          <w:tcPr>
            <w:tcW w:w="61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240" w:lineRule="atLeast"/>
              <w:ind w:left="0"/>
              <w:textAlignment w:val="auto"/>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响应供应商</w:t>
            </w:r>
            <w:r>
              <w:rPr>
                <w:rFonts w:hint="eastAsia" w:ascii="宋体" w:hAnsi="宋体" w:eastAsia="宋体" w:cs="宋体"/>
                <w:color w:val="auto"/>
                <w:sz w:val="18"/>
                <w:szCs w:val="18"/>
                <w:highlight w:val="none"/>
              </w:rPr>
              <w:t>具有</w:t>
            </w:r>
            <w:r>
              <w:rPr>
                <w:rFonts w:hint="eastAsia" w:ascii="宋体" w:hAnsi="宋体" w:cs="宋体"/>
                <w:color w:val="auto"/>
                <w:sz w:val="18"/>
                <w:szCs w:val="18"/>
                <w:highlight w:val="none"/>
                <w:lang w:eastAsia="zh-CN"/>
              </w:rPr>
              <w:t>：</w:t>
            </w:r>
          </w:p>
          <w:p>
            <w:pPr>
              <w:keepNext w:val="0"/>
              <w:keepLines w:val="0"/>
              <w:pageBreakBefore w:val="0"/>
              <w:widowControl w:val="0"/>
              <w:numPr>
                <w:ilvl w:val="0"/>
                <w:numId w:val="5"/>
              </w:numPr>
              <w:shd w:val="clear" w:color="auto"/>
              <w:kinsoku/>
              <w:wordWrap/>
              <w:overflowPunct/>
              <w:topLinePunct w:val="0"/>
              <w:autoSpaceDE/>
              <w:autoSpaceDN/>
              <w:bidi w:val="0"/>
              <w:adjustRightInd/>
              <w:snapToGrid/>
              <w:spacing w:line="240" w:lineRule="atLeast"/>
              <w:ind w:left="0" w:hanging="425"/>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出版物经营许可证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得2分</w:t>
            </w:r>
            <w:r>
              <w:rPr>
                <w:rFonts w:hint="eastAsia" w:ascii="宋体" w:hAnsi="宋体" w:cs="宋体"/>
                <w:color w:val="auto"/>
                <w:sz w:val="18"/>
                <w:szCs w:val="18"/>
                <w:highlight w:val="none"/>
                <w:lang w:eastAsia="zh-CN"/>
              </w:rPr>
              <w:t>；</w:t>
            </w:r>
          </w:p>
          <w:p>
            <w:pPr>
              <w:keepNext w:val="0"/>
              <w:keepLines w:val="0"/>
              <w:pageBreakBefore w:val="0"/>
              <w:widowControl w:val="0"/>
              <w:numPr>
                <w:ilvl w:val="0"/>
                <w:numId w:val="5"/>
              </w:numPr>
              <w:shd w:val="clear" w:color="auto"/>
              <w:kinsoku/>
              <w:wordWrap/>
              <w:overflowPunct/>
              <w:topLinePunct w:val="0"/>
              <w:autoSpaceDE/>
              <w:autoSpaceDN/>
              <w:bidi w:val="0"/>
              <w:adjustRightInd/>
              <w:snapToGrid/>
              <w:spacing w:line="240" w:lineRule="atLeast"/>
              <w:ind w:left="0" w:hanging="425"/>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广播电视节目制作许可证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得2分</w:t>
            </w:r>
            <w:r>
              <w:rPr>
                <w:rFonts w:hint="eastAsia" w:ascii="宋体" w:hAnsi="宋体" w:cs="宋体"/>
                <w:color w:val="auto"/>
                <w:sz w:val="18"/>
                <w:szCs w:val="18"/>
                <w:highlight w:val="none"/>
                <w:lang w:eastAsia="zh-CN"/>
              </w:rPr>
              <w:t>；</w:t>
            </w:r>
          </w:p>
          <w:p>
            <w:pPr>
              <w:keepNext w:val="0"/>
              <w:keepLines w:val="0"/>
              <w:pageBreakBefore w:val="0"/>
              <w:widowControl w:val="0"/>
              <w:numPr>
                <w:ilvl w:val="0"/>
                <w:numId w:val="5"/>
              </w:numPr>
              <w:shd w:val="clear" w:color="auto"/>
              <w:kinsoku/>
              <w:wordWrap/>
              <w:overflowPunct/>
              <w:topLinePunct w:val="0"/>
              <w:autoSpaceDE/>
              <w:autoSpaceDN/>
              <w:bidi w:val="0"/>
              <w:adjustRightInd/>
              <w:snapToGrid/>
              <w:spacing w:line="240" w:lineRule="atLeast"/>
              <w:ind w:left="0" w:leftChars="0" w:hanging="42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数字教材智能学伴系统、项目质量回溯体系管理软件、</w:t>
            </w:r>
            <w:r>
              <w:rPr>
                <w:rFonts w:hint="eastAsia" w:ascii="宋体" w:hAnsi="宋体" w:eastAsia="宋体" w:cs="宋体"/>
                <w:color w:val="auto"/>
                <w:sz w:val="18"/>
                <w:szCs w:val="18"/>
                <w:highlight w:val="none"/>
                <w:lang w:val="en-US" w:eastAsia="zh-CN"/>
              </w:rPr>
              <w:t>知识图谱自动化生成及管理系统</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样章审读</w:t>
            </w:r>
            <w:r>
              <w:rPr>
                <w:rFonts w:hint="eastAsia" w:ascii="宋体" w:hAnsi="宋体" w:eastAsia="宋体" w:cs="宋体"/>
                <w:color w:val="auto"/>
                <w:sz w:val="18"/>
                <w:szCs w:val="18"/>
                <w:highlight w:val="none"/>
                <w:lang w:val="en-US" w:eastAsia="zh-CN"/>
              </w:rPr>
              <w:t>系统</w:t>
            </w:r>
            <w:r>
              <w:rPr>
                <w:rFonts w:hint="eastAsia" w:ascii="宋体" w:hAnsi="宋体" w:eastAsia="宋体" w:cs="宋体"/>
                <w:color w:val="auto"/>
                <w:sz w:val="18"/>
                <w:szCs w:val="18"/>
                <w:highlight w:val="none"/>
              </w:rPr>
              <w:t>、视频后期制作软件、数字知识管理系统、数字教材智能编撰系统、选题策划系统</w:t>
            </w:r>
            <w:r>
              <w:rPr>
                <w:rFonts w:hint="eastAsia" w:ascii="宋体" w:hAnsi="宋体" w:eastAsia="宋体" w:cs="宋体"/>
                <w:color w:val="auto"/>
                <w:sz w:val="18"/>
                <w:szCs w:val="18"/>
                <w:highlight w:val="none"/>
                <w:lang w:eastAsia="zh-CN"/>
              </w:rPr>
              <w:t>、</w:t>
            </w:r>
            <w:r>
              <w:rPr>
                <w:rFonts w:hint="eastAsia" w:ascii="宋体" w:hAnsi="宋体" w:cs="宋体"/>
                <w:color w:val="auto"/>
                <w:sz w:val="18"/>
                <w:szCs w:val="18"/>
                <w:highlight w:val="none"/>
                <w:lang w:eastAsia="zh-CN"/>
              </w:rPr>
              <w:t>数字教材保护加密系统</w:t>
            </w:r>
            <w:r>
              <w:rPr>
                <w:rFonts w:hint="eastAsia" w:ascii="宋体" w:hAnsi="宋体" w:eastAsia="宋体" w:cs="宋体"/>
                <w:color w:val="auto"/>
                <w:sz w:val="18"/>
                <w:szCs w:val="18"/>
                <w:highlight w:val="none"/>
                <w:lang w:val="en-US" w:eastAsia="zh-CN"/>
              </w:rPr>
              <w:t>上述</w:t>
            </w:r>
            <w:r>
              <w:rPr>
                <w:rFonts w:hint="eastAsia" w:ascii="宋体" w:hAnsi="宋体" w:eastAsia="宋体" w:cs="宋体"/>
                <w:color w:val="auto"/>
                <w:sz w:val="18"/>
                <w:szCs w:val="18"/>
                <w:highlight w:val="none"/>
              </w:rPr>
              <w:t>软件著作权登记证书，每个证书得</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w:t>
            </w:r>
            <w:r>
              <w:rPr>
                <w:rFonts w:hint="eastAsia" w:ascii="宋体" w:hAnsi="宋体" w:cs="宋体"/>
                <w:color w:val="auto"/>
                <w:sz w:val="18"/>
                <w:szCs w:val="18"/>
                <w:highlight w:val="none"/>
                <w:lang w:eastAsia="zh-CN"/>
              </w:rPr>
              <w:t>。</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240" w:lineRule="atLeast"/>
              <w:ind w:left="0" w:firstLine="0"/>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本项最高得12分。</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240" w:lineRule="atLeast"/>
              <w:ind w:left="0" w:firstLine="0"/>
              <w:textAlignment w:val="auto"/>
              <w:rPr>
                <w:rFonts w:ascii="宋体" w:hAnsi="宋体" w:cs="宋体"/>
                <w:bCs/>
                <w:sz w:val="18"/>
                <w:szCs w:val="18"/>
              </w:rPr>
            </w:pPr>
            <w:r>
              <w:rPr>
                <w:rFonts w:hint="eastAsia" w:ascii="宋体" w:hAnsi="宋体" w:eastAsia="宋体" w:cs="宋体"/>
                <w:sz w:val="18"/>
                <w:szCs w:val="18"/>
                <w:highlight w:val="none"/>
              </w:rPr>
              <w:t>须提供的证明材料：相关证明</w:t>
            </w:r>
            <w:r>
              <w:rPr>
                <w:rFonts w:hint="eastAsia" w:ascii="宋体" w:hAnsi="宋体" w:eastAsia="宋体" w:cs="宋体"/>
                <w:sz w:val="18"/>
                <w:szCs w:val="18"/>
                <w:highlight w:val="none"/>
                <w:lang w:val="en-US" w:eastAsia="zh-CN"/>
              </w:rPr>
              <w:t>证书</w:t>
            </w:r>
            <w:r>
              <w:rPr>
                <w:rFonts w:hint="eastAsia" w:ascii="宋体" w:hAnsi="宋体" w:eastAsia="宋体" w:cs="宋体"/>
                <w:sz w:val="18"/>
                <w:szCs w:val="18"/>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4"/>
              </w:numPr>
              <w:tabs>
                <w:tab w:val="left" w:pos="170"/>
              </w:tabs>
              <w:kinsoku/>
              <w:wordWrap/>
              <w:overflowPunct/>
              <w:topLinePunct w:val="0"/>
              <w:autoSpaceDE/>
              <w:autoSpaceDN/>
              <w:bidi w:val="0"/>
              <w:adjustRightInd/>
              <w:snapToGrid/>
              <w:spacing w:line="240" w:lineRule="atLeast"/>
              <w:ind w:left="0"/>
              <w:jc w:val="center"/>
              <w:textAlignment w:val="auto"/>
              <w:rPr>
                <w:rFonts w:hint="eastAsia"/>
                <w:sz w:val="18"/>
                <w:szCs w:val="18"/>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jc w:val="center"/>
              <w:textAlignment w:val="auto"/>
              <w:rPr>
                <w:rFonts w:ascii="宋体" w:hAnsi="宋体"/>
                <w:sz w:val="18"/>
                <w:szCs w:val="18"/>
              </w:rPr>
            </w:pPr>
            <w:r>
              <w:rPr>
                <w:rFonts w:hint="eastAsia" w:ascii="宋体" w:hAnsi="宋体"/>
                <w:sz w:val="18"/>
                <w:szCs w:val="18"/>
              </w:rPr>
              <w:t>投标人同类项目业绩情况</w:t>
            </w: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jc w:val="center"/>
              <w:textAlignment w:val="auto"/>
              <w:rPr>
                <w:rFonts w:hint="default" w:ascii="宋体" w:hAnsi="宋体" w:eastAsia="宋体"/>
                <w:sz w:val="18"/>
                <w:szCs w:val="18"/>
                <w:lang w:val="en-US" w:eastAsia="zh-CN"/>
              </w:rPr>
            </w:pPr>
            <w:r>
              <w:rPr>
                <w:rFonts w:hint="eastAsia" w:ascii="宋体" w:hAnsi="宋体"/>
                <w:sz w:val="18"/>
                <w:szCs w:val="18"/>
                <w:lang w:val="en-US" w:eastAsia="zh-CN"/>
              </w:rPr>
              <w:t>4</w:t>
            </w:r>
          </w:p>
        </w:tc>
        <w:tc>
          <w:tcPr>
            <w:tcW w:w="61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240" w:lineRule="atLeast"/>
              <w:ind w:left="0"/>
              <w:textAlignment w:val="auto"/>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响应供应商</w:t>
            </w:r>
            <w:r>
              <w:rPr>
                <w:rFonts w:hint="eastAsia" w:ascii="宋体" w:hAnsi="宋体" w:eastAsia="宋体" w:cs="宋体"/>
                <w:color w:val="auto"/>
                <w:sz w:val="18"/>
                <w:szCs w:val="18"/>
                <w:highlight w:val="none"/>
              </w:rPr>
              <w:t>2017年1月1日（以合同签订时间为准）以来具有国家级专业教学资源库、国家级精品课程合同业绩，每提供一个得</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w:t>
            </w:r>
            <w:r>
              <w:rPr>
                <w:rFonts w:hint="eastAsia" w:ascii="宋体" w:hAnsi="宋体" w:cs="宋体"/>
                <w:color w:val="auto"/>
                <w:sz w:val="18"/>
                <w:szCs w:val="18"/>
                <w:highlight w:val="none"/>
                <w:lang w:val="en-US" w:eastAsia="zh-CN"/>
              </w:rPr>
              <w:t>最高得4分</w:t>
            </w:r>
            <w:r>
              <w:rPr>
                <w:rFonts w:hint="eastAsia" w:ascii="宋体" w:hAnsi="宋体" w:cs="宋体"/>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ascii="宋体" w:hAnsi="宋体" w:cs="宋体"/>
                <w:bCs/>
                <w:sz w:val="18"/>
                <w:szCs w:val="18"/>
              </w:rPr>
            </w:pPr>
            <w:r>
              <w:rPr>
                <w:rFonts w:hint="eastAsia" w:ascii="宋体" w:hAnsi="宋体" w:eastAsia="宋体" w:cs="宋体"/>
                <w:sz w:val="18"/>
                <w:szCs w:val="18"/>
                <w:highlight w:val="none"/>
              </w:rPr>
              <w:t>须提供的证明材料：</w:t>
            </w:r>
            <w:r>
              <w:rPr>
                <w:rFonts w:hint="eastAsia" w:ascii="宋体" w:hAnsi="宋体" w:cs="宋体"/>
                <w:sz w:val="18"/>
                <w:szCs w:val="18"/>
                <w:highlight w:val="none"/>
                <w:lang w:val="en-US" w:eastAsia="zh-CN"/>
              </w:rPr>
              <w:t>合同</w:t>
            </w:r>
            <w:r>
              <w:rPr>
                <w:rFonts w:hint="eastAsia" w:ascii="宋体" w:hAnsi="宋体" w:eastAsia="宋体" w:cs="宋体"/>
                <w:sz w:val="18"/>
                <w:szCs w:val="18"/>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4"/>
              </w:numPr>
              <w:tabs>
                <w:tab w:val="left" w:pos="170"/>
              </w:tabs>
              <w:kinsoku/>
              <w:wordWrap/>
              <w:overflowPunct/>
              <w:topLinePunct w:val="0"/>
              <w:autoSpaceDE/>
              <w:autoSpaceDN/>
              <w:bidi w:val="0"/>
              <w:adjustRightInd/>
              <w:snapToGrid/>
              <w:spacing w:line="240" w:lineRule="atLeast"/>
              <w:ind w:left="0"/>
              <w:jc w:val="center"/>
              <w:textAlignment w:val="auto"/>
              <w:rPr>
                <w:rFonts w:hint="eastAsia"/>
                <w:sz w:val="18"/>
                <w:szCs w:val="18"/>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jc w:val="center"/>
              <w:textAlignment w:val="auto"/>
              <w:rPr>
                <w:rFonts w:ascii="宋体" w:hAnsi="宋体"/>
                <w:sz w:val="18"/>
                <w:szCs w:val="18"/>
              </w:rPr>
            </w:pPr>
            <w:r>
              <w:rPr>
                <w:rFonts w:hint="eastAsia" w:ascii="宋体" w:hAnsi="宋体"/>
                <w:sz w:val="18"/>
                <w:szCs w:val="18"/>
              </w:rPr>
              <w:t>拟安排的项目负责人及团队情况</w:t>
            </w: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jc w:val="center"/>
              <w:textAlignment w:val="auto"/>
              <w:rPr>
                <w:rFonts w:hint="default" w:ascii="宋体" w:hAnsi="宋体" w:eastAsia="宋体"/>
                <w:sz w:val="18"/>
                <w:szCs w:val="18"/>
                <w:lang w:val="en-US" w:eastAsia="zh-CN"/>
              </w:rPr>
            </w:pPr>
            <w:r>
              <w:rPr>
                <w:rFonts w:hint="eastAsia" w:ascii="宋体" w:hAnsi="宋体"/>
                <w:sz w:val="18"/>
                <w:szCs w:val="18"/>
                <w:lang w:val="en-US" w:eastAsia="zh-CN"/>
              </w:rPr>
              <w:t>10</w:t>
            </w:r>
          </w:p>
        </w:tc>
        <w:tc>
          <w:tcPr>
            <w:tcW w:w="61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hd w:val="clear" w:color="auto"/>
              <w:kinsoku/>
              <w:wordWrap/>
              <w:overflowPunct/>
              <w:topLinePunct w:val="0"/>
              <w:autoSpaceDE/>
              <w:autoSpaceDN/>
              <w:bidi w:val="0"/>
              <w:adjustRightInd/>
              <w:snapToGrid/>
              <w:spacing w:line="240" w:lineRule="atLeast"/>
              <w:ind w:left="0"/>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1、响应供应商</w:t>
            </w:r>
            <w:r>
              <w:rPr>
                <w:rFonts w:hint="eastAsia" w:ascii="宋体" w:hAnsi="宋体" w:eastAsia="宋体" w:cs="宋体"/>
                <w:color w:val="auto"/>
                <w:sz w:val="18"/>
                <w:szCs w:val="18"/>
                <w:highlight w:val="none"/>
              </w:rPr>
              <w:t>拟投入本项目制作团队人员具高级三维动画设计师</w:t>
            </w:r>
            <w:r>
              <w:rPr>
                <w:rFonts w:hint="eastAsia" w:ascii="宋体" w:hAnsi="宋体" w:cs="宋体"/>
                <w:color w:val="auto"/>
                <w:sz w:val="18"/>
                <w:szCs w:val="18"/>
                <w:highlight w:val="none"/>
                <w:lang w:eastAsia="zh-CN"/>
              </w:rPr>
              <w:t>、高级视频剪辑与管理师、影视动画、影视多媒体技术影视编导与制作</w:t>
            </w:r>
            <w:r>
              <w:rPr>
                <w:rFonts w:hint="eastAsia" w:ascii="宋体" w:hAnsi="宋体" w:cs="宋体"/>
                <w:color w:val="auto"/>
                <w:sz w:val="18"/>
                <w:szCs w:val="18"/>
                <w:highlight w:val="none"/>
                <w:lang w:val="en-US" w:eastAsia="zh-CN"/>
              </w:rPr>
              <w:t>相关</w:t>
            </w:r>
            <w:r>
              <w:rPr>
                <w:rFonts w:hint="eastAsia" w:ascii="宋体" w:hAnsi="宋体" w:eastAsia="宋体" w:cs="宋体"/>
                <w:color w:val="auto"/>
                <w:sz w:val="18"/>
                <w:szCs w:val="18"/>
                <w:highlight w:val="none"/>
              </w:rPr>
              <w:t>证书，每个证书得1分，最多得5分。</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240" w:lineRule="atLeast"/>
              <w:ind w:left="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2、响应供应商</w:t>
            </w:r>
            <w:r>
              <w:rPr>
                <w:rFonts w:hint="eastAsia" w:ascii="宋体" w:hAnsi="宋体" w:eastAsia="宋体" w:cs="宋体"/>
                <w:color w:val="auto"/>
                <w:kern w:val="2"/>
                <w:sz w:val="18"/>
                <w:szCs w:val="18"/>
                <w:highlight w:val="none"/>
                <w:lang w:val="en-US" w:eastAsia="zh-CN" w:bidi="ar-SA"/>
              </w:rPr>
              <w:t>拟投入本项目制作团队人员具有摄影师（高级）证书，每提供一个得2.5分，最高得5分。</w:t>
            </w:r>
          </w:p>
          <w:p>
            <w:pPr>
              <w:keepNext w:val="0"/>
              <w:keepLines w:val="0"/>
              <w:pageBreakBefore w:val="0"/>
              <w:widowControl w:val="0"/>
              <w:shd w:val="clear" w:color="auto"/>
              <w:kinsoku/>
              <w:wordWrap/>
              <w:overflowPunct/>
              <w:topLinePunct w:val="0"/>
              <w:autoSpaceDE/>
              <w:autoSpaceDN/>
              <w:bidi w:val="0"/>
              <w:adjustRightInd/>
              <w:snapToGrid/>
              <w:spacing w:line="240" w:lineRule="atLeast"/>
              <w:ind w:left="0"/>
              <w:textAlignment w:val="auto"/>
              <w:rPr>
                <w:rFonts w:hint="eastAsia" w:ascii="宋体" w:hAnsi="宋体" w:eastAsia="宋体" w:cs="宋体"/>
                <w:sz w:val="18"/>
                <w:szCs w:val="18"/>
                <w:highlight w:val="none"/>
              </w:rPr>
            </w:pPr>
            <w:r>
              <w:rPr>
                <w:sz w:val="18"/>
                <w:szCs w:val="18"/>
                <w:highlight w:val="none"/>
              </w:rPr>
              <w:t>须</w:t>
            </w:r>
            <w:r>
              <w:rPr>
                <w:rFonts w:hint="eastAsia"/>
                <w:sz w:val="18"/>
                <w:szCs w:val="18"/>
                <w:highlight w:val="none"/>
                <w:lang w:val="en-US" w:eastAsia="zh-CN"/>
              </w:rPr>
              <w:t>同时</w:t>
            </w:r>
            <w:r>
              <w:rPr>
                <w:sz w:val="18"/>
                <w:szCs w:val="18"/>
                <w:highlight w:val="none"/>
              </w:rPr>
              <w:t>提供的证</w:t>
            </w:r>
            <w:r>
              <w:rPr>
                <w:rFonts w:hint="eastAsia" w:ascii="宋体" w:hAnsi="宋体" w:eastAsia="宋体" w:cs="宋体"/>
                <w:sz w:val="18"/>
                <w:szCs w:val="18"/>
                <w:highlight w:val="none"/>
              </w:rPr>
              <w:t>明材料：</w:t>
            </w:r>
          </w:p>
          <w:p>
            <w:pPr>
              <w:keepNext w:val="0"/>
              <w:keepLines w:val="0"/>
              <w:pageBreakBefore w:val="0"/>
              <w:widowControl w:val="0"/>
              <w:numPr>
                <w:ilvl w:val="0"/>
                <w:numId w:val="6"/>
              </w:numPr>
              <w:shd w:val="clear" w:color="auto"/>
              <w:kinsoku/>
              <w:wordWrap/>
              <w:overflowPunct/>
              <w:topLinePunct w:val="0"/>
              <w:autoSpaceDE/>
              <w:autoSpaceDN/>
              <w:bidi w:val="0"/>
              <w:adjustRightInd/>
              <w:snapToGrid/>
              <w:spacing w:line="240" w:lineRule="atLeast"/>
              <w:ind w:left="0"/>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相关证明</w:t>
            </w:r>
            <w:r>
              <w:rPr>
                <w:rFonts w:hint="eastAsia" w:ascii="宋体" w:hAnsi="宋体" w:eastAsia="宋体" w:cs="宋体"/>
                <w:sz w:val="18"/>
                <w:szCs w:val="18"/>
                <w:highlight w:val="none"/>
                <w:lang w:val="en-US" w:eastAsia="zh-CN"/>
              </w:rPr>
              <w:t>证书</w:t>
            </w:r>
            <w:r>
              <w:rPr>
                <w:rFonts w:hint="eastAsia" w:ascii="宋体" w:hAnsi="宋体" w:eastAsia="宋体" w:cs="宋体"/>
                <w:sz w:val="18"/>
                <w:szCs w:val="18"/>
                <w:highlight w:val="none"/>
              </w:rPr>
              <w:t>复印件</w:t>
            </w:r>
            <w:r>
              <w:rPr>
                <w:rFonts w:hint="eastAsia" w:ascii="宋体" w:hAnsi="宋体" w:eastAsia="宋体" w:cs="宋体"/>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ascii="宋体" w:hAnsi="宋体" w:cs="宋体"/>
                <w:bCs/>
                <w:sz w:val="18"/>
                <w:szCs w:val="18"/>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扣除本项目</w:t>
            </w:r>
            <w:r>
              <w:rPr>
                <w:rFonts w:hint="eastAsia" w:ascii="宋体" w:hAnsi="宋体" w:eastAsia="宋体" w:cs="宋体"/>
                <w:sz w:val="18"/>
                <w:szCs w:val="18"/>
                <w:highlight w:val="none"/>
                <w:lang w:val="en-US" w:eastAsia="zh-CN"/>
              </w:rPr>
              <w:t>磋商</w:t>
            </w:r>
            <w:r>
              <w:rPr>
                <w:rFonts w:hint="eastAsia" w:ascii="宋体" w:hAnsi="宋体" w:eastAsia="宋体" w:cs="宋体"/>
                <w:sz w:val="18"/>
                <w:szCs w:val="18"/>
                <w:highlight w:val="none"/>
              </w:rPr>
              <w:t>公告发布当月往前顺推</w:t>
            </w: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rPr>
              <w:t>个月内</w:t>
            </w:r>
            <w:r>
              <w:rPr>
                <w:sz w:val="18"/>
                <w:szCs w:val="18"/>
                <w:highlight w:val="none"/>
              </w:rPr>
              <w:t>的任意一个月人员在</w:t>
            </w:r>
            <w:r>
              <w:rPr>
                <w:rFonts w:hint="eastAsia" w:ascii="宋体" w:hAnsi="宋体" w:cs="宋体"/>
                <w:color w:val="auto"/>
                <w:sz w:val="18"/>
                <w:szCs w:val="18"/>
                <w:highlight w:val="none"/>
                <w:lang w:val="en-US" w:eastAsia="zh-CN"/>
              </w:rPr>
              <w:t>响应供应商</w:t>
            </w:r>
            <w:r>
              <w:rPr>
                <w:sz w:val="18"/>
                <w:szCs w:val="18"/>
                <w:highlight w:val="none"/>
              </w:rPr>
              <w:t>单位缴纳社保证明</w:t>
            </w:r>
            <w:r>
              <w:rPr>
                <w:rFonts w:hint="eastAsia"/>
                <w:sz w:val="18"/>
                <w:szCs w:val="18"/>
                <w:highlight w:val="none"/>
                <w:lang w:val="en-US" w:eastAsia="zh-CN"/>
              </w:rPr>
              <w:t>复印</w:t>
            </w:r>
            <w:r>
              <w:rPr>
                <w:sz w:val="18"/>
                <w:szCs w:val="18"/>
                <w:highlight w:val="none"/>
              </w:rPr>
              <w:t>件</w:t>
            </w:r>
            <w:r>
              <w:rPr>
                <w:rFonts w:hint="eastAsia"/>
                <w:sz w:val="18"/>
                <w:szCs w:val="1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240" w:lineRule="atLeast"/>
        <w:ind w:left="0" w:firstLine="480"/>
        <w:textAlignment w:val="auto"/>
        <w:rPr>
          <w:sz w:val="18"/>
          <w:szCs w:val="18"/>
        </w:rPr>
      </w:pPr>
      <w:bookmarkStart w:id="11" w:name="_Toc389489434"/>
      <w:bookmarkStart w:id="12" w:name="_Toc324867199"/>
      <w:bookmarkStart w:id="13" w:name="_Toc273255370"/>
    </w:p>
    <w:p>
      <w:pPr>
        <w:pStyle w:val="2"/>
        <w:rPr>
          <w:sz w:val="18"/>
          <w:szCs w:val="18"/>
        </w:rPr>
      </w:pPr>
    </w:p>
    <w:p>
      <w:pPr>
        <w:rPr>
          <w:sz w:val="18"/>
          <w:szCs w:val="18"/>
        </w:rPr>
      </w:pPr>
    </w:p>
    <w:p>
      <w:pPr>
        <w:pStyle w:val="2"/>
      </w:pPr>
    </w:p>
    <w:p>
      <w:pPr>
        <w:pStyle w:val="4"/>
        <w:keepNext w:val="0"/>
        <w:keepLines w:val="0"/>
        <w:pageBreakBefore w:val="0"/>
        <w:widowControl w:val="0"/>
        <w:numPr>
          <w:ilvl w:val="0"/>
          <w:numId w:val="3"/>
        </w:numPr>
        <w:tabs>
          <w:tab w:val="left" w:pos="780"/>
        </w:tabs>
        <w:kinsoku/>
        <w:wordWrap/>
        <w:overflowPunct/>
        <w:topLinePunct w:val="0"/>
        <w:autoSpaceDE w:val="0"/>
        <w:autoSpaceDN w:val="0"/>
        <w:bidi w:val="0"/>
        <w:adjustRightInd w:val="0"/>
        <w:snapToGrid/>
        <w:spacing w:before="0" w:after="0" w:line="240" w:lineRule="auto"/>
        <w:ind w:left="0" w:firstLine="482"/>
        <w:textAlignment w:val="auto"/>
        <w:rPr>
          <w:rFonts w:hint="eastAsia" w:ascii="Times New Roman" w:hAnsi="宋体" w:eastAsia="宋体" w:cs="Times New Roman"/>
          <w:b/>
          <w:bCs w:val="0"/>
          <w:color w:val="auto"/>
          <w:kern w:val="2"/>
          <w:sz w:val="21"/>
          <w:szCs w:val="21"/>
          <w:lang w:val="en-US" w:eastAsia="zh-CN" w:bidi="ar-SA"/>
        </w:rPr>
      </w:pPr>
      <w:r>
        <w:rPr>
          <w:rFonts w:ascii="Times New Roman" w:hAnsi="宋体" w:eastAsia="宋体" w:cs="Times New Roman"/>
          <w:b/>
          <w:bCs w:val="0"/>
          <w:color w:val="auto"/>
          <w:kern w:val="2"/>
          <w:sz w:val="21"/>
          <w:szCs w:val="21"/>
          <w:lang w:val="en-US" w:eastAsia="zh-CN" w:bidi="ar-SA"/>
        </w:rPr>
        <w:t>技术部分（权重45%）</w:t>
      </w:r>
      <w:bookmarkEnd w:id="11"/>
      <w:bookmarkEnd w:id="12"/>
      <w:bookmarkEnd w:id="13"/>
    </w:p>
    <w:tbl>
      <w:tblPr>
        <w:tblStyle w:val="11"/>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78"/>
        <w:gridCol w:w="993"/>
        <w:gridCol w:w="6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1871"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sz w:val="18"/>
                <w:szCs w:val="18"/>
              </w:rPr>
            </w:pPr>
            <w:r>
              <w:rPr>
                <w:rFonts w:hint="eastAsia"/>
                <w:b/>
                <w:sz w:val="18"/>
                <w:szCs w:val="18"/>
              </w:rPr>
              <w:t>技术评审因素</w:t>
            </w:r>
          </w:p>
        </w:tc>
        <w:tc>
          <w:tcPr>
            <w:tcW w:w="993"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sz w:val="18"/>
                <w:szCs w:val="18"/>
              </w:rPr>
            </w:pPr>
            <w:r>
              <w:rPr>
                <w:rFonts w:hint="eastAsia"/>
                <w:b/>
                <w:sz w:val="18"/>
                <w:szCs w:val="18"/>
              </w:rPr>
              <w:t>满分值</w:t>
            </w:r>
          </w:p>
        </w:tc>
        <w:tc>
          <w:tcPr>
            <w:tcW w:w="654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sz w:val="18"/>
                <w:szCs w:val="18"/>
              </w:rPr>
            </w:pPr>
            <w:r>
              <w:rPr>
                <w:rFonts w:hint="eastAsia"/>
                <w:b/>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tLeast"/>
              <w:ind w:left="0" w:firstLine="0"/>
              <w:jc w:val="center"/>
              <w:textAlignment w:val="auto"/>
              <w:rPr>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cs="宋体"/>
                <w:sz w:val="18"/>
                <w:szCs w:val="18"/>
              </w:rPr>
            </w:pPr>
            <w:r>
              <w:rPr>
                <w:rFonts w:hint="eastAsia" w:ascii="宋体" w:hAnsi="宋体" w:cs="宋体"/>
                <w:color w:val="000000"/>
                <w:sz w:val="18"/>
                <w:szCs w:val="18"/>
              </w:rPr>
              <w:t>技术规格响应情况</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cs="宋体"/>
                <w:sz w:val="18"/>
                <w:szCs w:val="18"/>
              </w:rPr>
            </w:pPr>
            <w:r>
              <w:rPr>
                <w:rFonts w:hint="eastAsia" w:ascii="宋体" w:hAnsi="宋体" w:cs="宋体"/>
                <w:color w:val="000000"/>
                <w:sz w:val="18"/>
                <w:szCs w:val="18"/>
                <w:lang w:val="en-US" w:eastAsia="zh-CN"/>
              </w:rPr>
              <w:t>2</w:t>
            </w:r>
            <w:r>
              <w:rPr>
                <w:rFonts w:ascii="宋体" w:hAnsi="宋体" w:cs="宋体"/>
                <w:color w:val="000000"/>
                <w:sz w:val="18"/>
                <w:szCs w:val="18"/>
              </w:rPr>
              <w:t>0</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kern w:val="0"/>
                <w:sz w:val="18"/>
                <w:szCs w:val="18"/>
                <w:lang w:bidi="ar"/>
              </w:rPr>
            </w:pPr>
            <w:r>
              <w:rPr>
                <w:rFonts w:hint="eastAsia" w:ascii="宋体" w:hAnsi="宋体" w:cs="宋体"/>
                <w:sz w:val="18"/>
                <w:szCs w:val="18"/>
              </w:rPr>
              <w:t>投标人应如实填写《技术规格偏离表》，评审委员会根据技术需求参数响应情况进行打分。完全满足招标文件要求得</w:t>
            </w:r>
            <w:r>
              <w:rPr>
                <w:rFonts w:hint="eastAsia" w:ascii="宋体" w:hAnsi="宋体" w:cs="宋体"/>
                <w:sz w:val="18"/>
                <w:szCs w:val="18"/>
                <w:lang w:val="en-US" w:eastAsia="zh-CN"/>
              </w:rPr>
              <w:t>2</w:t>
            </w:r>
            <w:r>
              <w:rPr>
                <w:rFonts w:ascii="宋体" w:hAnsi="宋体" w:cs="宋体"/>
                <w:sz w:val="18"/>
                <w:szCs w:val="18"/>
              </w:rPr>
              <w:t>0</w:t>
            </w:r>
            <w:r>
              <w:rPr>
                <w:rFonts w:hint="eastAsia" w:ascii="宋体" w:hAnsi="宋体" w:cs="宋体"/>
                <w:sz w:val="18"/>
                <w:szCs w:val="18"/>
              </w:rPr>
              <w:t>分；若对带“▲”技术参数条款响应为负偏离，一项扣</w:t>
            </w:r>
            <w:r>
              <w:rPr>
                <w:rFonts w:hint="eastAsia" w:ascii="宋体" w:hAnsi="宋体" w:cs="宋体"/>
                <w:sz w:val="18"/>
                <w:szCs w:val="18"/>
                <w:lang w:val="en-US" w:eastAsia="zh-CN"/>
              </w:rPr>
              <w:t>2</w:t>
            </w:r>
            <w:r>
              <w:rPr>
                <w:rFonts w:hint="eastAsia" w:ascii="宋体" w:hAnsi="宋体" w:cs="宋体"/>
                <w:sz w:val="18"/>
                <w:szCs w:val="18"/>
              </w:rPr>
              <w:t>分；对其它技术参数条款响应为负偏离的，一项扣</w:t>
            </w:r>
            <w:r>
              <w:rPr>
                <w:rFonts w:hint="eastAsia" w:ascii="宋体" w:hAnsi="宋体" w:cs="宋体"/>
                <w:sz w:val="18"/>
                <w:szCs w:val="18"/>
                <w:lang w:val="en-US" w:eastAsia="zh-CN"/>
              </w:rPr>
              <w:t>1</w:t>
            </w:r>
            <w:r>
              <w:rPr>
                <w:rFonts w:hint="eastAsia" w:ascii="宋体" w:hAnsi="宋体" w:cs="宋体"/>
                <w:sz w:val="18"/>
                <w:szCs w:val="18"/>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tLeast"/>
              <w:ind w:left="0" w:firstLine="0"/>
              <w:jc w:val="center"/>
              <w:textAlignment w:val="auto"/>
              <w:rPr>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cs="宋体"/>
                <w:sz w:val="18"/>
                <w:szCs w:val="18"/>
              </w:rPr>
            </w:pPr>
            <w:r>
              <w:rPr>
                <w:rFonts w:hint="eastAsia" w:ascii="宋体" w:hAnsi="宋体"/>
                <w:sz w:val="18"/>
                <w:szCs w:val="18"/>
              </w:rPr>
              <w:t>实施方案</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65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hAnsi="宋体" w:cs="宋体"/>
                <w:color w:val="000000"/>
                <w:sz w:val="18"/>
                <w:szCs w:val="18"/>
              </w:rPr>
            </w:pPr>
            <w:r>
              <w:rPr>
                <w:rFonts w:hint="eastAsia" w:ascii="宋体" w:hAnsi="宋体"/>
                <w:color w:val="000000"/>
                <w:kern w:val="0"/>
                <w:sz w:val="18"/>
                <w:szCs w:val="18"/>
              </w:rPr>
              <w:t>根据供应商针对本项目提供数字教材、数字资源建设方案（包括建设路径、建设内容、建设标准及要求、建设流程等）进行综合评审。①方案针对性强，符合实际情况，且服务方案内容详细、准确，能够充分满足采购人的需求得</w:t>
            </w:r>
            <w:r>
              <w:rPr>
                <w:rFonts w:hint="eastAsia" w:ascii="宋体" w:hAnsi="宋体"/>
                <w:color w:val="000000"/>
                <w:kern w:val="0"/>
                <w:sz w:val="18"/>
                <w:szCs w:val="18"/>
                <w:lang w:val="en-US" w:eastAsia="zh-CN"/>
              </w:rPr>
              <w:t>4</w:t>
            </w:r>
            <w:r>
              <w:rPr>
                <w:rFonts w:hint="eastAsia" w:ascii="宋体" w:hAnsi="宋体"/>
                <w:color w:val="000000"/>
                <w:kern w:val="0"/>
                <w:sz w:val="18"/>
                <w:szCs w:val="18"/>
              </w:rPr>
              <w:t>分；②服务方案针对性较强，较符合实际情况，且服务方案内容较详细、准确，能够满足采购人的需求得2分；③服务方案基本符合实际情况，服务方案内容基本详细、准确，基本能够满足采购人的需求得</w:t>
            </w:r>
            <w:r>
              <w:rPr>
                <w:rFonts w:ascii="宋体" w:hAnsi="宋体"/>
                <w:color w:val="000000"/>
                <w:kern w:val="0"/>
                <w:sz w:val="18"/>
                <w:szCs w:val="18"/>
              </w:rPr>
              <w:t>1</w:t>
            </w:r>
            <w:r>
              <w:rPr>
                <w:rFonts w:hint="eastAsia" w:ascii="宋体" w:hAnsi="宋体"/>
                <w:color w:val="000000"/>
                <w:kern w:val="0"/>
                <w:sz w:val="18"/>
                <w:szCs w:val="18"/>
              </w:rPr>
              <w:t>分；④差的或未提供的不得分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tLeast"/>
              <w:ind w:left="0" w:firstLine="0"/>
              <w:jc w:val="center"/>
              <w:textAlignment w:val="auto"/>
              <w:rPr>
                <w:sz w:val="18"/>
                <w:szCs w:val="18"/>
              </w:rPr>
            </w:pPr>
            <w:bookmarkStart w:id="14" w:name="_Toc273255371"/>
            <w:bookmarkStart w:id="15" w:name="_Toc324867200"/>
            <w:bookmarkStart w:id="16" w:name="_Toc389489436"/>
          </w:p>
        </w:tc>
        <w:tc>
          <w:tcPr>
            <w:tcW w:w="11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color w:val="000000"/>
                <w:sz w:val="18"/>
                <w:szCs w:val="18"/>
              </w:rPr>
            </w:pPr>
            <w:r>
              <w:rPr>
                <w:rFonts w:hint="eastAsia" w:ascii="宋体" w:hAnsi="宋体" w:cs="仿宋_GB2312"/>
                <w:bCs/>
                <w:color w:val="000000"/>
                <w:sz w:val="18"/>
                <w:szCs w:val="18"/>
              </w:rPr>
              <w:t>售后服务方案</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180" w:firstLineChars="100"/>
              <w:textAlignment w:val="auto"/>
              <w:rPr>
                <w:rFonts w:hint="eastAsia" w:ascii="宋体" w:hAnsi="宋体" w:cs="宋体"/>
                <w:sz w:val="18"/>
                <w:szCs w:val="18"/>
              </w:rPr>
            </w:pPr>
            <w:r>
              <w:rPr>
                <w:rFonts w:hint="eastAsia" w:ascii="宋体" w:hAnsi="宋体"/>
                <w:color w:val="000000"/>
                <w:kern w:val="0"/>
                <w:sz w:val="18"/>
                <w:szCs w:val="18"/>
              </w:rPr>
              <w:t>供应商</w:t>
            </w:r>
            <w:r>
              <w:rPr>
                <w:rFonts w:ascii="宋体" w:hAnsi="宋体"/>
                <w:color w:val="000000"/>
                <w:kern w:val="0"/>
                <w:sz w:val="18"/>
                <w:szCs w:val="18"/>
              </w:rPr>
              <w:t>需提供售后服务及应急方案，包括售后服务方案(包括服务响应及时性、技术与操作培训方案、保修期限)应急预案、应急处理措施等， 1、方案科学合理、完整详细、精准完善的得</w:t>
            </w:r>
            <w:r>
              <w:rPr>
                <w:rFonts w:hint="eastAsia" w:ascii="宋体" w:hAnsi="宋体"/>
                <w:color w:val="000000"/>
                <w:kern w:val="0"/>
                <w:sz w:val="18"/>
                <w:szCs w:val="18"/>
                <w:lang w:val="en-US" w:eastAsia="zh-CN"/>
              </w:rPr>
              <w:t>5</w:t>
            </w:r>
            <w:r>
              <w:rPr>
                <w:rFonts w:ascii="宋体" w:hAnsi="宋体"/>
                <w:color w:val="000000"/>
                <w:kern w:val="0"/>
                <w:sz w:val="18"/>
                <w:szCs w:val="18"/>
              </w:rPr>
              <w:t>分； 2、方案基本合理、比较详细、比较完善的得</w:t>
            </w:r>
            <w:r>
              <w:rPr>
                <w:rFonts w:hint="eastAsia" w:ascii="宋体" w:hAnsi="宋体"/>
                <w:color w:val="000000"/>
                <w:kern w:val="0"/>
                <w:sz w:val="18"/>
                <w:szCs w:val="18"/>
                <w:lang w:val="en-US" w:eastAsia="zh-CN"/>
              </w:rPr>
              <w:t>3</w:t>
            </w:r>
            <w:r>
              <w:rPr>
                <w:rFonts w:ascii="宋体" w:hAnsi="宋体"/>
                <w:color w:val="000000"/>
                <w:kern w:val="0"/>
                <w:sz w:val="18"/>
                <w:szCs w:val="18"/>
              </w:rPr>
              <w:t>分； 3、存在个别不合理或不可行之处得1分； 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6"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tLeast"/>
              <w:ind w:left="0" w:firstLine="0"/>
              <w:jc w:val="center"/>
              <w:textAlignment w:val="auto"/>
              <w:rPr>
                <w:sz w:val="18"/>
                <w:szCs w:val="18"/>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仿宋_GB2312"/>
                <w:bCs/>
                <w:color w:val="000000"/>
                <w:sz w:val="18"/>
                <w:szCs w:val="18"/>
              </w:rPr>
            </w:pPr>
            <w:r>
              <w:rPr>
                <w:rFonts w:hint="eastAsia" w:ascii="宋体" w:hAnsi="宋体" w:cs="宋体"/>
                <w:color w:val="000000"/>
                <w:sz w:val="18"/>
                <w:szCs w:val="18"/>
              </w:rPr>
              <w:t>演示要求</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6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240" w:lineRule="atLeast"/>
              <w:textAlignment w:val="auto"/>
              <w:rPr>
                <w:rFonts w:ascii="宋体" w:hAnsi="宋体"/>
                <w:color w:val="000000"/>
                <w:kern w:val="0"/>
                <w:sz w:val="18"/>
                <w:szCs w:val="18"/>
              </w:rPr>
            </w:pPr>
            <w:r>
              <w:rPr>
                <w:rFonts w:ascii="宋体" w:hAnsi="宋体"/>
                <w:color w:val="000000"/>
                <w:kern w:val="0"/>
                <w:sz w:val="18"/>
                <w:szCs w:val="18"/>
              </w:rPr>
              <w:t>投标人现场提供1个不超过3分钟的微课混剪样片演示（</w:t>
            </w:r>
            <w:r>
              <w:rPr>
                <w:rFonts w:hint="eastAsia" w:ascii="宋体" w:hAnsi="宋体"/>
                <w:color w:val="000000"/>
                <w:kern w:val="0"/>
                <w:sz w:val="18"/>
                <w:szCs w:val="18"/>
              </w:rPr>
              <w:t>须包含多种呈现模式：棚拍抠像、棚拍实景、现场实操、实景外拍、现场实操、内景实拍、白背景、课堂教学、课堂实录、触摸屏、录屏类、访谈类、MG动画、flash动画、三维动画、虚拟仿真等</w:t>
            </w:r>
            <w:r>
              <w:rPr>
                <w:rFonts w:ascii="宋体" w:hAnsi="宋体"/>
                <w:color w:val="000000"/>
                <w:kern w:val="0"/>
                <w:sz w:val="18"/>
                <w:szCs w:val="18"/>
              </w:rPr>
              <w:t>）。根据演示的相符性及优劣性酌情打分，满足15项得3分；满足12项及以上且样片制作较好的得2分，满足10项及以上的得1分，未演示或演示项目不足10项的不得分。（注：以上演示须内容完整、画面清晰、视频播放无抖动、跳跃，画面字体规范，视频声音和画面要求同步、无明显杂音、无明显失真、放音过冲、过弱，伴音清晰、噪声杂音干扰、音量忽大忽小现象）；未演示或演示项目不足8项的不得分。（满分3分）</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olor w:val="000000"/>
                <w:kern w:val="0"/>
                <w:sz w:val="18"/>
                <w:szCs w:val="18"/>
              </w:rPr>
            </w:pPr>
            <w:r>
              <w:rPr>
                <w:rFonts w:hint="eastAsia" w:ascii="宋体" w:hAnsi="宋体"/>
                <w:color w:val="000000"/>
                <w:kern w:val="0"/>
                <w:sz w:val="18"/>
                <w:szCs w:val="18"/>
                <w:lang w:val="en-US" w:eastAsia="zh-CN"/>
              </w:rPr>
              <w:t>2、</w:t>
            </w:r>
            <w:r>
              <w:rPr>
                <w:rFonts w:ascii="宋体" w:hAnsi="宋体"/>
                <w:color w:val="000000"/>
                <w:kern w:val="0"/>
                <w:sz w:val="18"/>
                <w:szCs w:val="18"/>
              </w:rPr>
              <w:t>投标人现场提供虚拟仿真模型类样例演示以下功能：</w:t>
            </w:r>
          </w:p>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ascii="宋体" w:hAnsi="宋体"/>
                <w:color w:val="000000"/>
                <w:kern w:val="0"/>
                <w:sz w:val="18"/>
                <w:szCs w:val="18"/>
              </w:rPr>
            </w:pPr>
            <w:r>
              <w:rPr>
                <w:rFonts w:hint="eastAsia" w:ascii="宋体" w:hAnsi="宋体"/>
                <w:color w:val="000000"/>
                <w:kern w:val="0"/>
                <w:sz w:val="18"/>
                <w:szCs w:val="18"/>
              </w:rPr>
              <w:t>1</w:t>
            </w:r>
            <w:r>
              <w:rPr>
                <w:rFonts w:ascii="宋体" w:hAnsi="宋体"/>
                <w:color w:val="000000"/>
                <w:kern w:val="0"/>
                <w:sz w:val="18"/>
                <w:szCs w:val="18"/>
              </w:rPr>
              <w:t>.</w:t>
            </w:r>
            <w:r>
              <w:rPr>
                <w:rFonts w:hint="eastAsia" w:ascii="宋体" w:hAnsi="宋体"/>
                <w:color w:val="000000"/>
                <w:kern w:val="0"/>
                <w:sz w:val="18"/>
                <w:szCs w:val="18"/>
              </w:rPr>
              <w:t>双指滑动屏幕实现缩放，单指滑动屏幕实现360度旋转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sz w:val="18"/>
                <w:szCs w:val="18"/>
              </w:rPr>
            </w:pPr>
            <w:r>
              <w:rPr>
                <w:rFonts w:hint="eastAsia" w:ascii="宋体" w:hAnsi="宋体"/>
                <w:color w:val="000000"/>
                <w:kern w:val="0"/>
                <w:sz w:val="18"/>
                <w:szCs w:val="18"/>
              </w:rPr>
              <w:t>2</w:t>
            </w:r>
            <w:r>
              <w:rPr>
                <w:rFonts w:ascii="宋体" w:hAnsi="宋体"/>
                <w:color w:val="000000"/>
                <w:kern w:val="0"/>
                <w:sz w:val="18"/>
                <w:szCs w:val="18"/>
              </w:rPr>
              <w:t>.</w:t>
            </w:r>
            <w:r>
              <w:rPr>
                <w:rFonts w:hint="eastAsia" w:ascii="宋体" w:hAnsi="宋体"/>
                <w:color w:val="000000"/>
                <w:kern w:val="0"/>
                <w:sz w:val="18"/>
                <w:szCs w:val="18"/>
              </w:rPr>
              <w:t>模型能播放拆分动画，炸开显示各个元件，炸开的按钮再次组装起来。整个过程都可以双指滑动屏幕实现缩放，单指滑动屏幕实现360度旋转</w:t>
            </w:r>
            <w:r>
              <w:rPr>
                <w:rFonts w:hint="eastAsia" w:ascii="宋体" w:hAnsi="宋体"/>
                <w:color w:val="000000"/>
                <w:kern w:val="0"/>
                <w:sz w:val="18"/>
                <w:szCs w:val="18"/>
              </w:rPr>
              <w:br w:type="textWrapping"/>
            </w:r>
            <w:r>
              <w:rPr>
                <w:rFonts w:hint="eastAsia" w:ascii="宋体" w:hAnsi="宋体"/>
                <w:color w:val="000000"/>
                <w:kern w:val="0"/>
                <w:sz w:val="18"/>
                <w:szCs w:val="18"/>
              </w:rPr>
              <w:t>3</w:t>
            </w:r>
            <w:r>
              <w:rPr>
                <w:rFonts w:ascii="宋体" w:hAnsi="宋体"/>
                <w:color w:val="000000"/>
                <w:kern w:val="0"/>
                <w:sz w:val="18"/>
                <w:szCs w:val="18"/>
              </w:rPr>
              <w:t>.</w:t>
            </w:r>
            <w:r>
              <w:rPr>
                <w:rFonts w:hint="eastAsia" w:ascii="宋体" w:hAnsi="宋体"/>
                <w:color w:val="000000"/>
                <w:kern w:val="0"/>
                <w:sz w:val="18"/>
                <w:szCs w:val="18"/>
              </w:rPr>
              <w:t>点击按钮，高亮显示某个元件，其余元件透明，可以突出高亮元件在整个模型中的位置。</w:t>
            </w:r>
            <w:r>
              <w:rPr>
                <w:rFonts w:hint="eastAsia" w:ascii="宋体" w:hAnsi="宋体"/>
                <w:color w:val="000000"/>
                <w:kern w:val="0"/>
                <w:sz w:val="18"/>
                <w:szCs w:val="18"/>
              </w:rPr>
              <w:br w:type="textWrapping"/>
            </w:r>
            <w:r>
              <w:rPr>
                <w:rFonts w:hint="eastAsia" w:ascii="宋体" w:hAnsi="宋体"/>
                <w:color w:val="000000"/>
                <w:kern w:val="0"/>
                <w:sz w:val="18"/>
                <w:szCs w:val="18"/>
              </w:rPr>
              <w:t>4</w:t>
            </w:r>
            <w:r>
              <w:rPr>
                <w:rFonts w:ascii="宋体" w:hAnsi="宋体"/>
                <w:color w:val="000000"/>
                <w:kern w:val="0"/>
                <w:sz w:val="18"/>
                <w:szCs w:val="18"/>
              </w:rPr>
              <w:t>.</w:t>
            </w:r>
            <w:r>
              <w:rPr>
                <w:rFonts w:hint="eastAsia" w:ascii="宋体" w:hAnsi="宋体"/>
                <w:color w:val="000000"/>
                <w:kern w:val="0"/>
                <w:sz w:val="18"/>
                <w:szCs w:val="18"/>
              </w:rPr>
              <w:t>整个操作过程中，都可以重置，把模型恢复初始状态。</w:t>
            </w:r>
            <w:r>
              <w:rPr>
                <w:rFonts w:ascii="宋体" w:hAnsi="宋体"/>
                <w:color w:val="000000"/>
                <w:kern w:val="0"/>
                <w:sz w:val="18"/>
                <w:szCs w:val="18"/>
              </w:rPr>
              <w:t>（满分3分）</w:t>
            </w:r>
          </w:p>
        </w:tc>
      </w:tr>
    </w:tbl>
    <w:p>
      <w:pPr>
        <w:ind w:firstLine="480"/>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4"/>
        <w:keepNext w:val="0"/>
        <w:keepLines w:val="0"/>
        <w:pageBreakBefore w:val="0"/>
        <w:widowControl w:val="0"/>
        <w:numPr>
          <w:ilvl w:val="0"/>
          <w:numId w:val="3"/>
        </w:numPr>
        <w:tabs>
          <w:tab w:val="left" w:pos="780"/>
        </w:tabs>
        <w:kinsoku/>
        <w:wordWrap/>
        <w:overflowPunct/>
        <w:topLinePunct w:val="0"/>
        <w:autoSpaceDE w:val="0"/>
        <w:autoSpaceDN w:val="0"/>
        <w:bidi w:val="0"/>
        <w:adjustRightInd w:val="0"/>
        <w:snapToGrid/>
        <w:spacing w:before="0" w:after="0" w:line="240" w:lineRule="atLeast"/>
        <w:ind w:left="0" w:firstLine="482" w:firstLineChars="200"/>
        <w:textAlignment w:val="auto"/>
        <w:rPr>
          <w:sz w:val="24"/>
          <w:szCs w:val="24"/>
        </w:rPr>
      </w:pPr>
      <w:r>
        <w:rPr>
          <w:sz w:val="24"/>
          <w:szCs w:val="24"/>
        </w:rPr>
        <w:t>价格部分（权重</w:t>
      </w:r>
      <w:r>
        <w:rPr>
          <w:rFonts w:hint="eastAsia"/>
          <w:sz w:val="24"/>
          <w:szCs w:val="24"/>
        </w:rPr>
        <w:t xml:space="preserve"> </w:t>
      </w:r>
      <w:r>
        <w:rPr>
          <w:rFonts w:hint="eastAsia"/>
          <w:sz w:val="24"/>
          <w:szCs w:val="24"/>
          <w:lang w:val="en-US" w:eastAsia="zh-CN"/>
        </w:rPr>
        <w:t>2</w:t>
      </w:r>
      <w:r>
        <w:rPr>
          <w:rFonts w:hint="eastAsia"/>
          <w:sz w:val="24"/>
          <w:szCs w:val="24"/>
        </w:rPr>
        <w:t>0</w:t>
      </w:r>
      <w:r>
        <w:rPr>
          <w:sz w:val="24"/>
          <w:szCs w:val="24"/>
        </w:rPr>
        <w:t>%）</w:t>
      </w:r>
      <w:bookmarkEnd w:id="14"/>
      <w:bookmarkEnd w:id="15"/>
      <w:bookmarkEnd w:id="16"/>
    </w:p>
    <w:p>
      <w:pPr>
        <w:keepNext w:val="0"/>
        <w:keepLines w:val="0"/>
        <w:pageBreakBefore w:val="0"/>
        <w:widowControl w:val="0"/>
        <w:numPr>
          <w:ilvl w:val="1"/>
          <w:numId w:val="9"/>
        </w:numPr>
        <w:kinsoku/>
        <w:wordWrap/>
        <w:overflowPunct/>
        <w:topLinePunct w:val="0"/>
        <w:bidi w:val="0"/>
        <w:snapToGrid/>
        <w:spacing w:line="240" w:lineRule="atLeast"/>
        <w:ind w:left="0" w:firstLine="420" w:firstLineChars="200"/>
        <w:textAlignment w:val="auto"/>
        <w:rPr>
          <w:rFonts w:hint="eastAsia"/>
          <w:lang w:val="en-GB"/>
        </w:rPr>
      </w:pPr>
      <w:r>
        <w:rPr>
          <w:rFonts w:hint="eastAsia"/>
          <w:lang w:val="en-GB"/>
        </w:rPr>
        <w:t>依照《政府采购促进中小企业发展暂行办法》的规定，对符合要求的有效投标人，按照以下比例</w:t>
      </w:r>
      <w:r>
        <w:rPr>
          <w:rFonts w:hint="eastAsia"/>
        </w:rPr>
        <w:t>给予相应的价格扣除</w:t>
      </w:r>
      <w:r>
        <w:rPr>
          <w:rFonts w:hint="eastAsia"/>
          <w:lang w:val="en-GB"/>
        </w:rPr>
        <w:t>：</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624"/>
        <w:gridCol w:w="2382"/>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noWrap w:val="0"/>
            <w:vAlign w:val="center"/>
          </w:tcPr>
          <w:p>
            <w:pPr>
              <w:keepNext w:val="0"/>
              <w:keepLines w:val="0"/>
              <w:pageBreakBefore w:val="0"/>
              <w:widowControl w:val="0"/>
              <w:kinsoku/>
              <w:wordWrap/>
              <w:overflowPunct/>
              <w:topLinePunct w:val="0"/>
              <w:bidi w:val="0"/>
              <w:snapToGrid/>
              <w:spacing w:line="240" w:lineRule="atLeast"/>
              <w:jc w:val="center"/>
              <w:textAlignment w:val="auto"/>
              <w:rPr>
                <w:rFonts w:hint="eastAsia" w:ascii="宋体" w:hAnsi="宋体"/>
                <w:b/>
                <w:szCs w:val="21"/>
                <w:lang w:val="en-GB"/>
              </w:rPr>
            </w:pPr>
            <w:r>
              <w:rPr>
                <w:rFonts w:hint="eastAsia" w:ascii="宋体" w:hAnsi="宋体"/>
                <w:b/>
                <w:szCs w:val="21"/>
                <w:lang w:val="en-GB"/>
              </w:rPr>
              <w:t>序号</w:t>
            </w:r>
          </w:p>
        </w:tc>
        <w:tc>
          <w:tcPr>
            <w:tcW w:w="2624" w:type="dxa"/>
            <w:noWrap w:val="0"/>
            <w:vAlign w:val="center"/>
          </w:tcPr>
          <w:p>
            <w:pPr>
              <w:keepNext w:val="0"/>
              <w:keepLines w:val="0"/>
              <w:pageBreakBefore w:val="0"/>
              <w:widowControl w:val="0"/>
              <w:kinsoku/>
              <w:wordWrap/>
              <w:overflowPunct/>
              <w:topLinePunct w:val="0"/>
              <w:bidi w:val="0"/>
              <w:snapToGrid/>
              <w:spacing w:line="240" w:lineRule="atLeast"/>
              <w:jc w:val="center"/>
              <w:textAlignment w:val="auto"/>
              <w:rPr>
                <w:rFonts w:hint="eastAsia" w:ascii="宋体" w:hAnsi="宋体"/>
                <w:b/>
                <w:szCs w:val="21"/>
                <w:lang w:val="en-GB"/>
              </w:rPr>
            </w:pPr>
            <w:r>
              <w:rPr>
                <w:rFonts w:hint="eastAsia" w:ascii="宋体" w:hAnsi="宋体"/>
                <w:b/>
                <w:szCs w:val="21"/>
                <w:lang w:val="en-GB"/>
              </w:rPr>
              <w:t>情形</w:t>
            </w:r>
          </w:p>
        </w:tc>
        <w:tc>
          <w:tcPr>
            <w:tcW w:w="2382" w:type="dxa"/>
            <w:noWrap w:val="0"/>
            <w:vAlign w:val="center"/>
          </w:tcPr>
          <w:p>
            <w:pPr>
              <w:keepNext w:val="0"/>
              <w:keepLines w:val="0"/>
              <w:pageBreakBefore w:val="0"/>
              <w:widowControl w:val="0"/>
              <w:kinsoku/>
              <w:wordWrap/>
              <w:overflowPunct/>
              <w:topLinePunct w:val="0"/>
              <w:bidi w:val="0"/>
              <w:snapToGrid/>
              <w:spacing w:line="240" w:lineRule="atLeast"/>
              <w:jc w:val="center"/>
              <w:textAlignment w:val="auto"/>
              <w:rPr>
                <w:rFonts w:hint="eastAsia" w:ascii="宋体" w:hAnsi="宋体"/>
                <w:b/>
                <w:szCs w:val="21"/>
                <w:lang w:val="en-GB"/>
              </w:rPr>
            </w:pPr>
            <w:r>
              <w:rPr>
                <w:rFonts w:hint="eastAsia" w:ascii="宋体" w:hAnsi="宋体"/>
                <w:b/>
                <w:szCs w:val="21"/>
              </w:rPr>
              <w:t>价格扣除</w:t>
            </w:r>
            <w:r>
              <w:rPr>
                <w:rFonts w:hint="eastAsia" w:ascii="宋体" w:hAnsi="宋体"/>
                <w:b/>
                <w:szCs w:val="21"/>
                <w:lang w:val="en-GB"/>
              </w:rPr>
              <w:t>比例</w:t>
            </w:r>
            <w:r>
              <w:rPr>
                <w:rFonts w:hint="eastAsia" w:ascii="宋体" w:hAnsi="宋体"/>
                <w:b/>
                <w:szCs w:val="21"/>
              </w:rPr>
              <w:t>（编制文件时由采购人确定）</w:t>
            </w:r>
          </w:p>
        </w:tc>
        <w:tc>
          <w:tcPr>
            <w:tcW w:w="3544" w:type="dxa"/>
            <w:noWrap w:val="0"/>
            <w:vAlign w:val="center"/>
          </w:tcPr>
          <w:p>
            <w:pPr>
              <w:keepNext w:val="0"/>
              <w:keepLines w:val="0"/>
              <w:pageBreakBefore w:val="0"/>
              <w:widowControl w:val="0"/>
              <w:kinsoku/>
              <w:wordWrap/>
              <w:overflowPunct/>
              <w:topLinePunct w:val="0"/>
              <w:bidi w:val="0"/>
              <w:snapToGrid/>
              <w:spacing w:line="240" w:lineRule="atLeast"/>
              <w:jc w:val="center"/>
              <w:textAlignment w:val="auto"/>
              <w:rPr>
                <w:rFonts w:hint="eastAsia" w:ascii="宋体" w:hAnsi="宋体"/>
                <w:b/>
                <w:szCs w:val="21"/>
                <w:lang w:val="en-GB"/>
              </w:rPr>
            </w:pPr>
            <w:r>
              <w:rPr>
                <w:rFonts w:hint="eastAsia" w:ascii="宋体" w:hAnsi="宋体"/>
                <w:b/>
                <w:szCs w:val="21"/>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72" w:type="dxa"/>
            <w:noWrap w:val="0"/>
            <w:vAlign w:val="center"/>
          </w:tcPr>
          <w:p>
            <w:pPr>
              <w:keepNext w:val="0"/>
              <w:keepLines w:val="0"/>
              <w:pageBreakBefore w:val="0"/>
              <w:widowControl w:val="0"/>
              <w:kinsoku/>
              <w:wordWrap/>
              <w:overflowPunct/>
              <w:topLinePunct w:val="0"/>
              <w:bidi w:val="0"/>
              <w:snapToGrid/>
              <w:spacing w:line="240" w:lineRule="atLeast"/>
              <w:jc w:val="center"/>
              <w:textAlignment w:val="auto"/>
              <w:rPr>
                <w:rFonts w:hint="eastAsia" w:ascii="宋体" w:hAnsi="宋体"/>
                <w:b/>
                <w:szCs w:val="21"/>
                <w:lang w:val="en-GB"/>
              </w:rPr>
            </w:pPr>
            <w:r>
              <w:rPr>
                <w:rFonts w:hint="eastAsia" w:ascii="宋体" w:hAnsi="宋体"/>
                <w:b/>
                <w:szCs w:val="21"/>
                <w:lang w:val="en-GB"/>
              </w:rPr>
              <w:t>1</w:t>
            </w:r>
          </w:p>
        </w:tc>
        <w:tc>
          <w:tcPr>
            <w:tcW w:w="2624" w:type="dxa"/>
            <w:noWrap w:val="0"/>
            <w:vAlign w:val="center"/>
          </w:tcPr>
          <w:p>
            <w:pPr>
              <w:keepNext w:val="0"/>
              <w:keepLines w:val="0"/>
              <w:pageBreakBefore w:val="0"/>
              <w:widowControl w:val="0"/>
              <w:kinsoku/>
              <w:wordWrap/>
              <w:overflowPunct/>
              <w:topLinePunct w:val="0"/>
              <w:bidi w:val="0"/>
              <w:snapToGrid/>
              <w:spacing w:line="240" w:lineRule="atLeast"/>
              <w:jc w:val="center"/>
              <w:textAlignment w:val="auto"/>
              <w:rPr>
                <w:rFonts w:hint="eastAsia" w:ascii="宋体" w:hAnsi="宋体"/>
                <w:b/>
                <w:szCs w:val="21"/>
                <w:lang w:val="en-GB"/>
              </w:rPr>
            </w:pPr>
            <w:r>
              <w:rPr>
                <w:rFonts w:hint="eastAsia" w:ascii="宋体" w:hAnsi="宋体"/>
                <w:szCs w:val="21"/>
                <w:lang w:val="en-GB"/>
              </w:rPr>
              <w:t>供应商为中小企业</w:t>
            </w:r>
          </w:p>
        </w:tc>
        <w:tc>
          <w:tcPr>
            <w:tcW w:w="2382" w:type="dxa"/>
            <w:noWrap w:val="0"/>
            <w:vAlign w:val="center"/>
          </w:tcPr>
          <w:p>
            <w:pPr>
              <w:keepNext w:val="0"/>
              <w:keepLines w:val="0"/>
              <w:pageBreakBefore w:val="0"/>
              <w:widowControl w:val="0"/>
              <w:kinsoku/>
              <w:wordWrap/>
              <w:overflowPunct/>
              <w:topLinePunct w:val="0"/>
              <w:bidi w:val="0"/>
              <w:snapToGrid/>
              <w:spacing w:line="240" w:lineRule="atLeast"/>
              <w:jc w:val="center"/>
              <w:textAlignment w:val="auto"/>
              <w:rPr>
                <w:rFonts w:hint="eastAsia" w:ascii="宋体" w:hAnsi="宋体"/>
                <w:b/>
                <w:szCs w:val="21"/>
                <w:lang w:val="en-GB"/>
              </w:rPr>
            </w:pPr>
            <w:r>
              <w:rPr>
                <w:rFonts w:hint="eastAsia" w:ascii="宋体" w:hAnsi="宋体"/>
                <w:szCs w:val="21"/>
              </w:rPr>
              <w:t>对小型和微型企业产品的价格扣除</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 </w:t>
            </w:r>
            <w:r>
              <w:rPr>
                <w:rFonts w:hint="eastAsia" w:ascii="宋体" w:hAnsi="宋体"/>
                <w:szCs w:val="21"/>
              </w:rPr>
              <w:t>%</w:t>
            </w:r>
          </w:p>
        </w:tc>
        <w:tc>
          <w:tcPr>
            <w:tcW w:w="3544" w:type="dxa"/>
            <w:noWrap w:val="0"/>
            <w:vAlign w:val="center"/>
          </w:tcPr>
          <w:p>
            <w:pPr>
              <w:keepNext w:val="0"/>
              <w:keepLines w:val="0"/>
              <w:pageBreakBefore w:val="0"/>
              <w:widowControl w:val="0"/>
              <w:kinsoku/>
              <w:wordWrap/>
              <w:overflowPunct/>
              <w:topLinePunct w:val="0"/>
              <w:bidi w:val="0"/>
              <w:snapToGrid/>
              <w:spacing w:line="240" w:lineRule="atLeast"/>
              <w:jc w:val="center"/>
              <w:textAlignment w:val="auto"/>
              <w:rPr>
                <w:rFonts w:hint="eastAsia" w:ascii="宋体" w:hAnsi="宋体"/>
                <w:szCs w:val="21"/>
                <w:lang w:val="en-GB"/>
              </w:rPr>
            </w:pPr>
            <w:r>
              <w:rPr>
                <w:rFonts w:hint="eastAsia"/>
                <w:szCs w:val="21"/>
                <w:lang w:val="en-GB"/>
              </w:rPr>
              <w:t>评标价格＝（总投标报价—</w:t>
            </w:r>
            <w:r>
              <w:rPr>
                <w:rFonts w:hint="eastAsia"/>
                <w:szCs w:val="21"/>
              </w:rPr>
              <w:t>小型和微型企业产品的价格）</w:t>
            </w:r>
            <w:r>
              <w:rPr>
                <w:rFonts w:hint="eastAsia"/>
                <w:szCs w:val="21"/>
                <w:lang w:val="en-GB"/>
              </w:rPr>
              <w:t>+</w:t>
            </w:r>
            <w:r>
              <w:rPr>
                <w:rFonts w:hint="eastAsia"/>
                <w:szCs w:val="21"/>
              </w:rPr>
              <w:t>小型和微型企业产品的价格</w:t>
            </w:r>
            <w:r>
              <w:rPr>
                <w:rFonts w:hint="eastAsia" w:ascii="宋体" w:hAnsi="宋体"/>
                <w:szCs w:val="21"/>
                <w:lang w:val="en-GB"/>
              </w:rPr>
              <w:t>×</w:t>
            </w:r>
            <w:r>
              <w:rPr>
                <w:rFonts w:hint="eastAsia" w:ascii="宋体" w:hAnsi="宋体"/>
                <w:szCs w:val="21"/>
              </w:rPr>
              <w:t>(1-</w:t>
            </w:r>
            <w:r>
              <w:rPr>
                <w:rFonts w:hint="eastAsia" w:ascii="宋体" w:hAnsi="宋体"/>
                <w:szCs w:val="21"/>
                <w:u w:val="single"/>
              </w:rPr>
              <w:t xml:space="preserve">    </w:t>
            </w:r>
            <w:r>
              <w:rPr>
                <w:rFonts w:hint="eastAsia"/>
                <w:szCs w:val="21"/>
                <w:u w:val="single"/>
              </w:rPr>
              <w:t>%)</w:t>
            </w:r>
          </w:p>
        </w:tc>
      </w:tr>
    </w:tbl>
    <w:p>
      <w:pPr>
        <w:keepNext w:val="0"/>
        <w:keepLines w:val="0"/>
        <w:pageBreakBefore w:val="0"/>
        <w:kinsoku/>
        <w:wordWrap/>
        <w:overflowPunct/>
        <w:topLinePunct w:val="0"/>
        <w:autoSpaceDE/>
        <w:autoSpaceDN/>
        <w:bidi w:val="0"/>
        <w:adjustRightInd/>
        <w:snapToGrid/>
        <w:spacing w:line="240" w:lineRule="auto"/>
        <w:ind w:firstLine="482"/>
        <w:textAlignment w:val="auto"/>
        <w:rPr>
          <w:b/>
          <w:bCs/>
          <w:i/>
          <w:lang w:val="en-GB"/>
        </w:rPr>
      </w:pPr>
      <w:r>
        <w:rPr>
          <w:rFonts w:hint="eastAsia" w:ascii="宋体" w:hAnsi="宋体"/>
          <w:bCs/>
          <w:lang w:val="en-GB"/>
        </w:rPr>
        <w:t>（注：1、中型企业不享受以上优惠；2、小型和微型企业产品包括货物及其提供的服务与工程。）</w:t>
      </w:r>
    </w:p>
    <w:p>
      <w:pPr>
        <w:keepNext w:val="0"/>
        <w:keepLines w:val="0"/>
        <w:pageBreakBefore w:val="0"/>
        <w:widowControl/>
        <w:numPr>
          <w:ilvl w:val="1"/>
          <w:numId w:val="9"/>
        </w:numPr>
        <w:kinsoku/>
        <w:wordWrap/>
        <w:overflowPunct/>
        <w:topLinePunct w:val="0"/>
        <w:autoSpaceDE/>
        <w:autoSpaceDN/>
        <w:bidi w:val="0"/>
        <w:adjustRightInd/>
        <w:snapToGrid/>
        <w:spacing w:line="240" w:lineRule="auto"/>
        <w:ind w:firstLine="482"/>
        <w:textAlignment w:val="auto"/>
        <w:rPr>
          <w:kern w:val="0"/>
        </w:rPr>
      </w:pPr>
      <w:r>
        <w:t>经评委会审核，</w:t>
      </w:r>
      <w:r>
        <w:rPr>
          <w:kern w:val="0"/>
        </w:rPr>
        <w:t>满足招标文件要求且</w:t>
      </w:r>
      <w:r>
        <w:rPr>
          <w:rFonts w:hint="eastAsia"/>
          <w:kern w:val="0"/>
        </w:rPr>
        <w:t>进行了政策性价格扣除后，</w:t>
      </w:r>
      <w:r>
        <w:t>以</w:t>
      </w:r>
      <w:r>
        <w:rPr>
          <w:rFonts w:hint="eastAsia"/>
        </w:rPr>
        <w:t>评标价格的</w:t>
      </w:r>
      <w:r>
        <w:rPr>
          <w:kern w:val="0"/>
        </w:rPr>
        <w:t>最低价者定为评标基准价，其价格分为满分。其他投标人的价格分统一按下列公式折算递减。即：</w:t>
      </w:r>
    </w:p>
    <w:p>
      <w:pPr>
        <w:keepNext w:val="0"/>
        <w:keepLines w:val="0"/>
        <w:pageBreakBefore w:val="0"/>
        <w:widowControl/>
        <w:kinsoku/>
        <w:wordWrap/>
        <w:overflowPunct/>
        <w:topLinePunct w:val="0"/>
        <w:autoSpaceDE/>
        <w:autoSpaceDN/>
        <w:bidi w:val="0"/>
        <w:adjustRightInd/>
        <w:snapToGrid/>
        <w:spacing w:line="240" w:lineRule="auto"/>
        <w:ind w:left="473" w:leftChars="225" w:firstLine="482"/>
        <w:textAlignment w:val="auto"/>
      </w:pPr>
      <w:r>
        <w:t>评标基准价 =</w:t>
      </w:r>
      <w:r>
        <w:rPr>
          <w:rFonts w:hint="eastAsia"/>
        </w:rPr>
        <w:t>评标价格的最低价</w:t>
      </w:r>
      <w:r>
        <w:t xml:space="preserve"> = 满</w:t>
      </w:r>
      <w:r>
        <w:rPr>
          <w:rFonts w:hint="eastAsia"/>
          <w:lang w:val="en-US" w:eastAsia="zh-CN"/>
        </w:rPr>
        <w:t>20</w:t>
      </w:r>
      <w:r>
        <w:t>分</w:t>
      </w:r>
    </w:p>
    <w:p>
      <w:pPr>
        <w:keepNext w:val="0"/>
        <w:keepLines w:val="0"/>
        <w:pageBreakBefore w:val="0"/>
        <w:kinsoku/>
        <w:wordWrap/>
        <w:overflowPunct/>
        <w:topLinePunct w:val="0"/>
        <w:autoSpaceDE/>
        <w:autoSpaceDN/>
        <w:bidi w:val="0"/>
        <w:adjustRightInd/>
        <w:snapToGrid/>
        <w:spacing w:line="240" w:lineRule="auto"/>
        <w:ind w:left="473" w:leftChars="225" w:firstLine="482"/>
        <w:textAlignment w:val="auto"/>
        <w:rPr>
          <w:rFonts w:hint="default" w:eastAsiaTheme="minorEastAsia"/>
          <w:b/>
          <w:i/>
          <w:sz w:val="24"/>
          <w:u w:val="wave"/>
          <w:lang w:val="en-US" w:eastAsia="zh-CN"/>
        </w:rPr>
      </w:pPr>
      <w:r>
        <w:t>其他投标报价得分 =  (评标基准价÷</w:t>
      </w:r>
      <w:r>
        <w:rPr>
          <w:rFonts w:hint="eastAsia"/>
        </w:rPr>
        <w:t>评标价格</w:t>
      </w:r>
      <w:r>
        <w:t xml:space="preserve">) × </w:t>
      </w:r>
      <w:r>
        <w:rPr>
          <w:rFonts w:hint="eastAsia"/>
          <w:lang w:val="en-US" w:eastAsia="zh-CN"/>
        </w:rPr>
        <w:t>20</w:t>
      </w:r>
    </w:p>
    <w:p>
      <w:pPr>
        <w:pStyle w:val="2"/>
        <w:rPr>
          <w:b/>
          <w:bCs/>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CFA6F"/>
    <w:multiLevelType w:val="singleLevel"/>
    <w:tmpl w:val="928CFA6F"/>
    <w:lvl w:ilvl="0" w:tentative="0">
      <w:start w:val="1"/>
      <w:numFmt w:val="decimal"/>
      <w:suff w:val="nothing"/>
      <w:lvlText w:val="%1、"/>
      <w:lvlJc w:val="left"/>
    </w:lvl>
  </w:abstractNum>
  <w:abstractNum w:abstractNumId="1">
    <w:nsid w:val="EDCA4538"/>
    <w:multiLevelType w:val="singleLevel"/>
    <w:tmpl w:val="EDCA4538"/>
    <w:lvl w:ilvl="0" w:tentative="0">
      <w:start w:val="1"/>
      <w:numFmt w:val="decimal"/>
      <w:lvlText w:val="%1."/>
      <w:lvlJc w:val="left"/>
      <w:pPr>
        <w:ind w:left="425" w:hanging="425"/>
      </w:pPr>
      <w:rPr>
        <w:rFonts w:hint="default"/>
      </w:rPr>
    </w:lvl>
  </w:abstractNum>
  <w:abstractNum w:abstractNumId="2">
    <w:nsid w:val="25B70C76"/>
    <w:multiLevelType w:val="multilevel"/>
    <w:tmpl w:val="25B70C76"/>
    <w:lvl w:ilvl="0" w:tentative="0">
      <w:start w:val="13"/>
      <w:numFmt w:val="decimal"/>
      <w:lvlText w:val="%1."/>
      <w:lvlJc w:val="left"/>
      <w:pPr>
        <w:tabs>
          <w:tab w:val="left" w:pos="510"/>
        </w:tabs>
        <w:ind w:left="510" w:hanging="510"/>
      </w:pPr>
      <w:rPr>
        <w:rFonts w:hint="eastAsia"/>
        <w:color w:val="000000"/>
      </w:rPr>
    </w:lvl>
    <w:lvl w:ilvl="1" w:tentative="0">
      <w:start w:val="1"/>
      <w:numFmt w:val="decimal"/>
      <w:lvlText w:val="%2."/>
      <w:lvlJc w:val="left"/>
      <w:pPr>
        <w:tabs>
          <w:tab w:val="left" w:pos="510"/>
        </w:tabs>
        <w:ind w:left="510" w:hanging="510"/>
      </w:pPr>
      <w:rPr>
        <w:rFonts w:hint="eastAsia"/>
        <w:color w:val="000000"/>
      </w:rPr>
    </w:lvl>
    <w:lvl w:ilvl="2" w:tentative="0">
      <w:start w:val="1"/>
      <w:numFmt w:val="decimal"/>
      <w:lvlText w:val="%3."/>
      <w:lvlJc w:val="left"/>
      <w:pPr>
        <w:tabs>
          <w:tab w:val="left" w:pos="1260"/>
        </w:tabs>
        <w:ind w:left="1260" w:hanging="420"/>
      </w:pPr>
      <w:rPr>
        <w:rFonts w:hint="eastAsia"/>
        <w:color w:val="00000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B25D898"/>
    <w:multiLevelType w:val="singleLevel"/>
    <w:tmpl w:val="3B25D898"/>
    <w:lvl w:ilvl="0" w:tentative="0">
      <w:start w:val="10"/>
      <w:numFmt w:val="decimal"/>
      <w:suff w:val="nothing"/>
      <w:lvlText w:val="%1）"/>
      <w:lvlJc w:val="left"/>
    </w:lvl>
  </w:abstractNum>
  <w:abstractNum w:abstractNumId="4">
    <w:nsid w:val="3E87045E"/>
    <w:multiLevelType w:val="multilevel"/>
    <w:tmpl w:val="3E87045E"/>
    <w:lvl w:ilvl="0" w:tentative="0">
      <w:start w:val="1"/>
      <w:numFmt w:val="decimal"/>
      <w:lvlText w:val="%1"/>
      <w:lvlJc w:val="center"/>
      <w:pPr>
        <w:tabs>
          <w:tab w:val="left" w:pos="170"/>
        </w:tabs>
        <w:ind w:left="170" w:hanging="170"/>
      </w:pPr>
      <w:rPr>
        <w:spacing w:val="-20"/>
        <w:kern w:val="2"/>
        <w:position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2083452"/>
    <w:multiLevelType w:val="singleLevel"/>
    <w:tmpl w:val="42083452"/>
    <w:lvl w:ilvl="0" w:tentative="0">
      <w:start w:val="1"/>
      <w:numFmt w:val="decimal"/>
      <w:lvlText w:val="%1."/>
      <w:lvlJc w:val="left"/>
      <w:pPr>
        <w:tabs>
          <w:tab w:val="left" w:pos="312"/>
        </w:tabs>
      </w:pPr>
    </w:lvl>
  </w:abstractNum>
  <w:abstractNum w:abstractNumId="6">
    <w:nsid w:val="5DC52377"/>
    <w:multiLevelType w:val="multilevel"/>
    <w:tmpl w:val="5DC52377"/>
    <w:lvl w:ilvl="0" w:tentative="0">
      <w:start w:val="1"/>
      <w:numFmt w:val="decimal"/>
      <w:suff w:val="nothing"/>
      <w:lvlText w:val="%1"/>
      <w:lvlJc w:val="center"/>
      <w:pPr>
        <w:ind w:left="0" w:firstLine="0"/>
      </w:pPr>
      <w:rPr>
        <w:rFonts w:hint="eastAsia"/>
        <w:spacing w:val="-20"/>
        <w:kern w:val="2"/>
        <w:position w:val="0"/>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7">
    <w:nsid w:val="76B8C06A"/>
    <w:multiLevelType w:val="singleLevel"/>
    <w:tmpl w:val="76B8C06A"/>
    <w:lvl w:ilvl="0" w:tentative="0">
      <w:start w:val="2"/>
      <w:numFmt w:val="chineseCounting"/>
      <w:suff w:val="nothing"/>
      <w:lvlText w:val="%1、"/>
      <w:lvlJc w:val="left"/>
      <w:rPr>
        <w:rFonts w:hint="eastAsia"/>
      </w:rPr>
    </w:lvl>
  </w:abstractNum>
  <w:abstractNum w:abstractNumId="8">
    <w:nsid w:val="7B8E4D1F"/>
    <w:multiLevelType w:val="multilevel"/>
    <w:tmpl w:val="7B8E4D1F"/>
    <w:lvl w:ilvl="0" w:tentative="0">
      <w:start w:val="1"/>
      <w:numFmt w:val="decimal"/>
      <w:lvlText w:val="%1."/>
      <w:lvlJc w:val="left"/>
      <w:pPr>
        <w:tabs>
          <w:tab w:val="left" w:pos="453"/>
        </w:tabs>
        <w:ind w:left="453" w:hanging="453"/>
      </w:pPr>
      <w:rPr>
        <w:rFonts w:hint="eastAsia"/>
        <w:b/>
        <w:i w:val="0"/>
        <w:sz w:val="24"/>
        <w:szCs w:val="24"/>
      </w:rPr>
    </w:lvl>
    <w:lvl w:ilvl="1" w:tentative="0">
      <w:start w:val="1"/>
      <w:numFmt w:val="decimal"/>
      <w:lvlText w:val="%2"/>
      <w:lvlJc w:val="center"/>
      <w:pPr>
        <w:tabs>
          <w:tab w:val="left" w:pos="703"/>
        </w:tabs>
        <w:ind w:left="647" w:hanging="227"/>
      </w:pPr>
      <w:rPr>
        <w:rFonts w:hint="eastAsia"/>
        <w:b/>
        <w:i w:val="0"/>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8"/>
  </w:num>
  <w:num w:numId="4">
    <w:abstractNumId w:val="6"/>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BE5DF8"/>
    <w:rsid w:val="00025ABE"/>
    <w:rsid w:val="001063F7"/>
    <w:rsid w:val="00135A7F"/>
    <w:rsid w:val="003A7C69"/>
    <w:rsid w:val="00557D9A"/>
    <w:rsid w:val="005E5630"/>
    <w:rsid w:val="007A569C"/>
    <w:rsid w:val="007D02D8"/>
    <w:rsid w:val="009C7F8A"/>
    <w:rsid w:val="00A906CE"/>
    <w:rsid w:val="00BE5196"/>
    <w:rsid w:val="00F066FF"/>
    <w:rsid w:val="00F658D6"/>
    <w:rsid w:val="0A050C88"/>
    <w:rsid w:val="10AD7BB4"/>
    <w:rsid w:val="130F79DE"/>
    <w:rsid w:val="16AB2827"/>
    <w:rsid w:val="17AA52C5"/>
    <w:rsid w:val="1A4F2DB6"/>
    <w:rsid w:val="1FA55DFC"/>
    <w:rsid w:val="275A639C"/>
    <w:rsid w:val="28EB76F7"/>
    <w:rsid w:val="2B430715"/>
    <w:rsid w:val="2EF064BE"/>
    <w:rsid w:val="2FE53B49"/>
    <w:rsid w:val="31572824"/>
    <w:rsid w:val="3177D581"/>
    <w:rsid w:val="318F1FBE"/>
    <w:rsid w:val="366F8335"/>
    <w:rsid w:val="37B502A5"/>
    <w:rsid w:val="37DA7D0B"/>
    <w:rsid w:val="387E4B3B"/>
    <w:rsid w:val="39C644F6"/>
    <w:rsid w:val="3BB51C56"/>
    <w:rsid w:val="3C0B4937"/>
    <w:rsid w:val="3C851015"/>
    <w:rsid w:val="3C8F7316"/>
    <w:rsid w:val="3EF7362A"/>
    <w:rsid w:val="47A85730"/>
    <w:rsid w:val="4AC42881"/>
    <w:rsid w:val="50487AB0"/>
    <w:rsid w:val="54C84584"/>
    <w:rsid w:val="5DFB8812"/>
    <w:rsid w:val="5EC4195F"/>
    <w:rsid w:val="5EF590EB"/>
    <w:rsid w:val="5F7689CD"/>
    <w:rsid w:val="5F7832BB"/>
    <w:rsid w:val="5FE72321"/>
    <w:rsid w:val="675B5EC3"/>
    <w:rsid w:val="6C2E3BA6"/>
    <w:rsid w:val="6D6D5600"/>
    <w:rsid w:val="6EF32E85"/>
    <w:rsid w:val="70840239"/>
    <w:rsid w:val="72D4581C"/>
    <w:rsid w:val="75CB06B8"/>
    <w:rsid w:val="76AA651F"/>
    <w:rsid w:val="792425B9"/>
    <w:rsid w:val="796230E1"/>
    <w:rsid w:val="7A0877CC"/>
    <w:rsid w:val="7BBD5725"/>
    <w:rsid w:val="7BFA4291"/>
    <w:rsid w:val="7CF6576B"/>
    <w:rsid w:val="7DBE5DF8"/>
    <w:rsid w:val="7E27677D"/>
    <w:rsid w:val="7EDF8355"/>
    <w:rsid w:val="7EEE6D88"/>
    <w:rsid w:val="7EFF6CE5"/>
    <w:rsid w:val="9FDE310A"/>
    <w:rsid w:val="BFEBDFA4"/>
    <w:rsid w:val="CBDCB5BA"/>
    <w:rsid w:val="D7FBF9EB"/>
    <w:rsid w:val="DED702DC"/>
    <w:rsid w:val="DFFF9816"/>
    <w:rsid w:val="E6FD5AAC"/>
    <w:rsid w:val="E7FCF763"/>
    <w:rsid w:val="EAF66BD3"/>
    <w:rsid w:val="F75F6DC2"/>
    <w:rsid w:val="F7FA3161"/>
    <w:rsid w:val="FB739156"/>
    <w:rsid w:val="FF6E6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Cs/>
      <w:sz w:val="32"/>
      <w:szCs w:val="32"/>
    </w:rPr>
  </w:style>
  <w:style w:type="paragraph" w:styleId="4">
    <w:name w:val="heading 3"/>
    <w:basedOn w:val="1"/>
    <w:next w:val="1"/>
    <w:unhideWhenUsed/>
    <w:qFormat/>
    <w:uiPriority w:val="9"/>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next w:val="1"/>
    <w:qFormat/>
    <w:uiPriority w:val="0"/>
    <w:pPr>
      <w:ind w:firstLine="420"/>
    </w:pPr>
    <w:rPr>
      <w:kern w:val="0"/>
      <w:sz w:val="20"/>
      <w:szCs w:val="20"/>
    </w:rPr>
  </w:style>
  <w:style w:type="paragraph" w:styleId="7">
    <w:name w:val="annotation text"/>
    <w:basedOn w:val="1"/>
    <w:qFormat/>
    <w:uiPriority w:val="0"/>
    <w:pPr>
      <w:jc w:val="left"/>
    </w:pPr>
    <w:rPr>
      <w:rFonts w:ascii="Times New Roman" w:hAnsi="Times New Roman" w:eastAsia="宋体" w:cs="Times New Roman"/>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2"/>
    <w:qFormat/>
    <w:uiPriority w:val="0"/>
    <w:pPr>
      <w:ind w:firstLine="420" w:firstLineChars="100"/>
    </w:p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page number"/>
    <w:qFormat/>
    <w:uiPriority w:val="0"/>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列表段落1"/>
    <w:basedOn w:val="1"/>
    <w:qFormat/>
    <w:uiPriority w:val="99"/>
    <w:pPr>
      <w:ind w:firstLine="420" w:firstLineChars="200"/>
    </w:pPr>
  </w:style>
  <w:style w:type="paragraph" w:customStyle="1" w:styleId="18">
    <w:name w:val="通用正文"/>
    <w:basedOn w:val="1"/>
    <w:qFormat/>
    <w:uiPriority w:val="0"/>
    <w:pPr>
      <w:spacing w:line="360" w:lineRule="auto"/>
      <w:ind w:firstLine="200" w:firstLineChars="200"/>
    </w:pPr>
    <w:rPr>
      <w:rFonts w:ascii="Calibri" w:hAnsi="Calibri" w:eastAsia="宋体" w:cs="Times New Roman"/>
      <w:sz w:val="24"/>
    </w:rPr>
  </w:style>
  <w:style w:type="paragraph" w:customStyle="1" w:styleId="19">
    <w:name w:val="1124标题4"/>
    <w:basedOn w:val="20"/>
    <w:qFormat/>
    <w:uiPriority w:val="0"/>
    <w:pPr>
      <w:spacing w:line="480" w:lineRule="auto"/>
      <w:ind w:firstLine="0" w:firstLineChars="0"/>
      <w:outlineLvl w:val="3"/>
    </w:pPr>
    <w:rPr>
      <w:rFonts w:eastAsia="宋体"/>
      <w:sz w:val="28"/>
    </w:rPr>
  </w:style>
  <w:style w:type="paragraph" w:customStyle="1" w:styleId="20">
    <w:name w:val="1124标题5"/>
    <w:basedOn w:val="1"/>
    <w:qFormat/>
    <w:uiPriority w:val="0"/>
    <w:pPr>
      <w:spacing w:line="360" w:lineRule="auto"/>
      <w:ind w:firstLine="200" w:firstLineChars="200"/>
      <w:outlineLvl w:val="4"/>
    </w:pPr>
    <w:rPr>
      <w:rFonts w:eastAsia="黑体"/>
      <w:b/>
      <w:sz w:val="24"/>
    </w:rPr>
  </w:style>
  <w:style w:type="paragraph" w:customStyle="1" w:styleId="21">
    <w:name w:val="ZW"/>
    <w:qFormat/>
    <w:uiPriority w:val="0"/>
    <w:pPr>
      <w:widowControl w:val="0"/>
      <w:topLinePunct/>
      <w:spacing w:line="440" w:lineRule="atLeast"/>
      <w:ind w:firstLine="420"/>
    </w:pPr>
    <w:rPr>
      <w:rFonts w:ascii="Times New Roman" w:hAnsi="Times New Roman" w:eastAsia="宋体" w:cs="宋体"/>
      <w:sz w:val="21"/>
      <w:szCs w:val="21"/>
      <w:lang w:val="en-US" w:eastAsia="zh-CN" w:bidi="ar-SA"/>
    </w:rPr>
  </w:style>
  <w:style w:type="character" w:customStyle="1" w:styleId="22">
    <w:name w:val="font01"/>
    <w:qFormat/>
    <w:uiPriority w:val="0"/>
    <w:rPr>
      <w:rFonts w:hint="eastAsia" w:ascii="宋体" w:hAnsi="宋体" w:eastAsia="宋体"/>
      <w:b/>
      <w:bCs/>
      <w:color w:val="000000"/>
      <w:sz w:val="24"/>
      <w:szCs w:val="24"/>
      <w:u w:val="none"/>
    </w:rPr>
  </w:style>
  <w:style w:type="character" w:customStyle="1" w:styleId="23">
    <w:name w:val="font11"/>
    <w:qFormat/>
    <w:uiPriority w:val="0"/>
    <w:rPr>
      <w:rFonts w:hint="eastAsia" w:ascii="宋体" w:hAnsi="宋体" w:eastAsia="宋体"/>
      <w:b/>
      <w:bCs/>
      <w:color w:val="000000"/>
      <w:sz w:val="22"/>
      <w:szCs w:val="22"/>
      <w:u w:val="none"/>
    </w:rPr>
  </w:style>
  <w:style w:type="paragraph" w:customStyle="1" w:styleId="24">
    <w:name w:val="列出段落1"/>
    <w:basedOn w:val="1"/>
    <w:qFormat/>
    <w:uiPriority w:val="0"/>
    <w:pPr>
      <w:ind w:firstLine="420" w:firstLineChars="200"/>
    </w:pPr>
  </w:style>
  <w:style w:type="character" w:customStyle="1" w:styleId="25">
    <w:name w:val="font31"/>
    <w:qFormat/>
    <w:uiPriority w:val="0"/>
    <w:rPr>
      <w:rFonts w:hint="eastAsia" w:ascii="宋体" w:hAnsi="宋体" w:eastAsia="宋体" w:cs="宋体"/>
      <w:color w:val="000000"/>
      <w:sz w:val="20"/>
      <w:szCs w:val="20"/>
      <w:u w:val="none"/>
    </w:rPr>
  </w:style>
  <w:style w:type="paragraph" w:styleId="26">
    <w:name w:val="List Paragraph"/>
    <w:basedOn w:val="1"/>
    <w:qFormat/>
    <w:uiPriority w:val="34"/>
    <w:pPr>
      <w:widowControl w:val="0"/>
      <w:spacing w:line="240" w:lineRule="auto"/>
      <w:ind w:firstLine="420" w:firstLineChars="200"/>
      <w:jc w:val="both"/>
    </w:pPr>
    <w:rPr>
      <w:rFonts w:ascii="Calibri" w:hAnsi="Calibri"/>
      <w:kern w:val="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10074</Words>
  <Characters>10579</Characters>
  <Lines>145</Lines>
  <Paragraphs>41</Paragraphs>
  <TotalTime>27</TotalTime>
  <ScaleCrop>false</ScaleCrop>
  <LinksUpToDate>false</LinksUpToDate>
  <CharactersWithSpaces>10731</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2025-01-08T00:38:00Z</dcterms:created>
  <dc:creator>班海（解元博）</dc:creator>
  <cp:lastModifiedBy>馨</cp:lastModifiedBy>
  <dcterms:modified xsi:type="dcterms:W3CDTF">2025-11-18T02:46:23Z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05A25258A06F4B148C0DAF36ECC7834C_13</vt:lpwstr>
  </property>
  <property fmtid="{D5CDD505-2E9C-101B-9397-08002B2CF9AE}" pid="4" name="KSOTemplateDocerSaveRecord">
    <vt:lpwstr>eyJoZGlkIjoiZTMxZjYwYTNkZjI1MDUwYzMwZWI1YzU2YjQ4ZTEwNzgiLCJ1c2VySWQiOiIzMjU5MjUxODQifQ==</vt:lpwstr>
  </property>
</Properties>
</file>